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32"/>
          <w:szCs w:val="32"/>
          <w:lang w:val="en-US" w:eastAsia="zh-CN"/>
        </w:rPr>
      </w:pP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苏州农商银行</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2025年半年度第三支柱信息披露报告</w:t>
      </w:r>
    </w:p>
    <w:p>
      <w:pPr>
        <w:rPr>
          <w:rFonts w:hint="eastAsia" w:ascii="仿宋" w:hAnsi="仿宋" w:eastAsia="仿宋" w:cs="仿宋"/>
          <w:sz w:val="32"/>
          <w:szCs w:val="32"/>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本行为非国内系统重要性银行，根据《商业银行资本管理办法》（以下简称“</w:t>
      </w:r>
      <w:bookmarkStart w:id="0" w:name="_GoBack"/>
      <w:bookmarkEnd w:id="0"/>
      <w:r>
        <w:rPr>
          <w:rFonts w:hint="eastAsia" w:ascii="仿宋" w:hAnsi="仿宋" w:eastAsia="仿宋" w:cs="仿宋"/>
          <w:sz w:val="32"/>
          <w:szCs w:val="32"/>
          <w:lang w:val="en-US" w:eastAsia="zh-CN"/>
        </w:rPr>
        <w:t>办法”）附件22《商业银行信息披露内容和要求》的规定，本行按照办法第三章规定的并表范围披露相关信息。</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根据办法，公司首次披露相关信息，无需对前期数据追溯披露。本季度公司需披露的报表如下：</w:t>
      </w:r>
    </w:p>
    <w:p>
      <w:pPr>
        <w:ind w:firstLine="640" w:firstLineChars="200"/>
        <w:rPr>
          <w:rFonts w:hint="eastAsia" w:ascii="仿宋" w:hAnsi="仿宋" w:eastAsia="仿宋" w:cs="仿宋"/>
          <w:sz w:val="32"/>
          <w:szCs w:val="32"/>
          <w:lang w:val="en-US" w:eastAsia="zh-CN"/>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附表一：KM1监管并表关键审慎监管指标</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3692"/>
        <w:gridCol w:w="2055"/>
        <w:gridCol w:w="213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329" w:type="dxa"/>
            <w:gridSpan w:val="2"/>
            <w:vMerge w:val="restart"/>
            <w:tcBorders>
              <w:top w:val="single" w:color="000000" w:sz="4" w:space="0"/>
              <w:left w:val="single" w:color="000000" w:sz="4" w:space="0"/>
            </w:tcBorders>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tc>
        <w:tc>
          <w:tcPr>
            <w:tcW w:w="2055" w:type="dxa"/>
            <w:tcBorders>
              <w:top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2138" w:type="dxa"/>
            <w:tcBorders>
              <w:top w:val="single" w:color="000000" w:sz="4" w:space="0"/>
              <w:right w:val="single" w:color="000000"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b</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329" w:type="dxa"/>
            <w:gridSpan w:val="2"/>
            <w:vMerge w:val="continue"/>
            <w:tcBorders>
              <w:left w:val="single" w:color="000000"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2055" w:type="dxa"/>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2025年6月30日</w:t>
            </w:r>
          </w:p>
        </w:tc>
        <w:tc>
          <w:tcPr>
            <w:tcW w:w="2138" w:type="dxa"/>
            <w:tcBorders>
              <w:right w:val="single" w:color="000000"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2025年3月31日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trPr>
        <w:tc>
          <w:tcPr>
            <w:tcW w:w="6384" w:type="dxa"/>
            <w:gridSpan w:val="3"/>
            <w:tcBorders>
              <w:left w:val="single" w:color="000000" w:sz="4" w:space="0"/>
            </w:tcBorders>
            <w:shd w:val="clear" w:color="000000" w:fill="D9D9D9"/>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可用资本（</w:t>
            </w:r>
            <w:r>
              <w:rPr>
                <w:rFonts w:hint="eastAsia" w:ascii="仿宋_GB2312" w:hAnsi="仿宋" w:eastAsia="仿宋_GB2312" w:cs="Arial Unicode MS"/>
                <w:b/>
                <w:bCs/>
                <w:color w:val="000000" w:themeColor="text1"/>
                <w:sz w:val="24"/>
                <w:szCs w:val="24"/>
                <w:lang w:eastAsia="zh-CN"/>
                <w14:textFill>
                  <w14:solidFill>
                    <w14:schemeClr w14:val="tx1"/>
                  </w14:solidFill>
                </w14:textFill>
              </w:rPr>
              <w:t>数</w:t>
            </w:r>
            <w:r>
              <w:rPr>
                <w:rFonts w:hint="eastAsia" w:ascii="仿宋_GB2312" w:hAnsi="仿宋" w:eastAsia="仿宋_GB2312" w:cs="Arial Unicode MS"/>
                <w:b/>
                <w:bCs/>
                <w:color w:val="000000" w:themeColor="text1"/>
                <w:sz w:val="24"/>
                <w:szCs w:val="24"/>
                <w14:textFill>
                  <w14:solidFill>
                    <w14:schemeClr w14:val="tx1"/>
                  </w14:solidFill>
                </w14:textFill>
              </w:rPr>
              <w:t>额）</w:t>
            </w:r>
          </w:p>
        </w:tc>
        <w:tc>
          <w:tcPr>
            <w:tcW w:w="2138" w:type="dxa"/>
            <w:tcBorders>
              <w:right w:val="single" w:color="000000" w:sz="4" w:space="0"/>
            </w:tcBorders>
            <w:shd w:val="clear" w:color="000000" w:fill="D9D9D9"/>
          </w:tcPr>
          <w:p>
            <w:pPr>
              <w:snapToGrid w:val="0"/>
              <w:spacing w:line="480" w:lineRule="exact"/>
              <w:rPr>
                <w:rFonts w:hint="eastAsia"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核心一级资本净额</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17055461</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16972028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w:t>
            </w:r>
            <w:r>
              <w:rPr>
                <w:rFonts w:hint="eastAsia" w:ascii="仿宋_GB2312" w:hAnsi="仿宋" w:eastAsia="仿宋_GB2312" w:cs="Arial Unicode MS"/>
                <w:color w:val="000000" w:themeColor="text1"/>
                <w:sz w:val="24"/>
                <w:szCs w:val="24"/>
                <w:lang w:eastAsia="zh-CN"/>
                <w14:textFill>
                  <w14:solidFill>
                    <w14:schemeClr w14:val="tx1"/>
                  </w14:solidFill>
                </w14:textFill>
              </w:rPr>
              <w:t>净额</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17055845</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16972455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3</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w:t>
            </w:r>
            <w:r>
              <w:rPr>
                <w:rFonts w:hint="eastAsia" w:ascii="仿宋_GB2312" w:hAnsi="仿宋" w:eastAsia="仿宋_GB2312" w:cs="Arial Unicode MS"/>
                <w:color w:val="000000" w:themeColor="text1"/>
                <w:sz w:val="24"/>
                <w:szCs w:val="24"/>
                <w:lang w:eastAsia="zh-CN"/>
                <w14:textFill>
                  <w14:solidFill>
                    <w14:schemeClr w14:val="tx1"/>
                  </w14:solidFill>
                </w14:textFill>
              </w:rPr>
              <w:t>净额</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20389833</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20342455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top"/>
          </w:tcPr>
          <w:p>
            <w:pPr>
              <w:rPr>
                <w:rFonts w:hint="default" w:ascii="Arial" w:hAnsi="Arial" w:cs="Arial"/>
                <w:sz w:val="24"/>
                <w:szCs w:val="24"/>
              </w:rPr>
            </w:pPr>
          </w:p>
        </w:tc>
        <w:tc>
          <w:tcPr>
            <w:tcW w:w="2138" w:type="dxa"/>
            <w:tcBorders>
              <w:right w:val="single" w:color="000000" w:sz="4" w:space="0"/>
            </w:tcBorders>
            <w:shd w:val="clear" w:color="000000" w:fill="D9D9D9"/>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4</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风险加权资产</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156928295</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157631067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top"/>
          </w:tcPr>
          <w:p>
            <w:pPr>
              <w:rPr>
                <w:rFonts w:hint="default" w:ascii="Arial" w:hAnsi="Arial" w:cs="Arial"/>
                <w:sz w:val="24"/>
                <w:szCs w:val="24"/>
              </w:rPr>
            </w:pPr>
          </w:p>
        </w:tc>
        <w:tc>
          <w:tcPr>
            <w:tcW w:w="2138" w:type="dxa"/>
            <w:tcBorders>
              <w:right w:val="single" w:color="000000" w:sz="4" w:space="0"/>
            </w:tcBorders>
            <w:shd w:val="clear" w:color="000000" w:fill="D9D9D9"/>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核心一级资本充足率（</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10.87</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6</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10.87</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7</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12.99</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12.91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top"/>
          </w:tcPr>
          <w:p>
            <w:pPr>
              <w:rPr>
                <w:rFonts w:hint="default" w:ascii="Arial" w:hAnsi="Arial" w:cs="Arial"/>
                <w:sz w:val="24"/>
                <w:szCs w:val="24"/>
              </w:rPr>
            </w:pPr>
          </w:p>
        </w:tc>
        <w:tc>
          <w:tcPr>
            <w:tcW w:w="2138" w:type="dxa"/>
            <w:tcBorders>
              <w:right w:val="single" w:color="000000" w:sz="4" w:space="0"/>
            </w:tcBorders>
            <w:shd w:val="clear" w:color="000000" w:fill="D9D9D9"/>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8</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储备资本要求</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2.50</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9</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逆周期资本要求（</w:t>
            </w:r>
            <w:r>
              <w:rPr>
                <w:rFonts w:ascii="仿宋_GB2312" w:hAnsi="仿宋" w:eastAsia="仿宋_GB2312" w:cs="Arial Unicode MS"/>
                <w:color w:val="000000" w:themeColor="text1"/>
                <w:sz w:val="24"/>
                <w:szCs w:val="24"/>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0.00</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37" w:type="dxa"/>
            <w:tcBorders>
              <w:left w:val="single" w:color="000000" w:sz="4" w:space="0"/>
            </w:tcBorders>
            <w:shd w:val="clear" w:color="auto" w:fill="auto"/>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10</w:t>
            </w:r>
          </w:p>
        </w:tc>
        <w:tc>
          <w:tcPr>
            <w:tcW w:w="3692" w:type="dxa"/>
            <w:shd w:val="clear" w:color="auto" w:fill="auto"/>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shd w:val="clear" w:color="auto" w:fill="BEBEBE"/>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0.00</w:t>
            </w:r>
          </w:p>
        </w:tc>
        <w:tc>
          <w:tcPr>
            <w:tcW w:w="2138" w:type="dxa"/>
            <w:tcBorders>
              <w:right w:val="single" w:color="000000" w:sz="4" w:space="0"/>
            </w:tcBorders>
            <w:shd w:val="clear" w:color="auto" w:fill="BEBEBE"/>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11</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其他各级资本要求（</w:t>
            </w:r>
            <w:r>
              <w:rPr>
                <w:rFonts w:ascii="仿宋_GB2312" w:hAnsi="仿宋" w:eastAsia="仿宋_GB2312" w:cs="Arial Unicode MS"/>
                <w:color w:val="000000" w:themeColor="text1"/>
                <w:sz w:val="24"/>
                <w:szCs w:val="24"/>
                <w:lang w:eastAsia="zh-CN"/>
                <w14:textFill>
                  <w14:solidFill>
                    <w14:schemeClr w14:val="tx1"/>
                  </w14:solidFill>
                </w14:textFill>
              </w:rPr>
              <w:t>%）（8+9+10）</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2.50</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12</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5.87</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5.77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top"/>
          </w:tcPr>
          <w:p>
            <w:pPr>
              <w:rPr>
                <w:rFonts w:hint="default" w:ascii="Arial" w:hAnsi="Arial" w:cs="Arial"/>
                <w:sz w:val="24"/>
                <w:szCs w:val="24"/>
              </w:rPr>
            </w:pPr>
          </w:p>
        </w:tc>
        <w:tc>
          <w:tcPr>
            <w:tcW w:w="2138" w:type="dxa"/>
            <w:tcBorders>
              <w:right w:val="single" w:color="000000" w:sz="4" w:space="0"/>
            </w:tcBorders>
            <w:shd w:val="clear" w:color="000000" w:fill="D9D9D9"/>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13</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调整后表内外资产余额</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252623055</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255228499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14</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杠杆率</w:t>
            </w:r>
            <w:r>
              <w:rPr>
                <w:rFonts w:hint="eastAsia" w:ascii="仿宋_GB2312" w:hAnsi="仿宋" w:eastAsia="仿宋_GB2312" w:cs="Arial Unicode MS"/>
                <w:color w:val="000000" w:themeColor="text1"/>
                <w:sz w:val="24"/>
                <w:szCs w:val="24"/>
                <w:lang w:eastAsia="zh-CN"/>
                <w14:textFill>
                  <w14:solidFill>
                    <w14:schemeClr w14:val="tx1"/>
                  </w14:solidFill>
                </w14:textFill>
              </w:rPr>
              <w:t>（</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6.75</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1</w:t>
            </w:r>
            <w:r>
              <w:rPr>
                <w:rFonts w:ascii="仿宋_GB2312" w:hAnsi="仿宋" w:eastAsia="仿宋_GB2312" w:cs="Arial Unicode MS"/>
                <w:color w:val="000000" w:themeColor="text1"/>
                <w:sz w:val="24"/>
                <w:szCs w:val="24"/>
                <w:lang w:eastAsia="zh-CN"/>
                <w14:textFill>
                  <w14:solidFill>
                    <w14:schemeClr w14:val="tx1"/>
                  </w14:solidFill>
                </w14:textFill>
              </w:rPr>
              <w:t>4</w:t>
            </w:r>
            <w:r>
              <w:rPr>
                <w:rFonts w:hint="eastAsia" w:ascii="仿宋_GB2312" w:hAnsi="仿宋" w:eastAsia="仿宋_GB2312" w:cs="Arial Unicode MS"/>
                <w:color w:val="000000" w:themeColor="text1"/>
                <w:sz w:val="24"/>
                <w:szCs w:val="24"/>
                <w:lang w:eastAsia="zh-CN"/>
                <w14:textFill>
                  <w14:solidFill>
                    <w14:schemeClr w14:val="tx1"/>
                  </w14:solidFill>
                </w14:textFill>
              </w:rPr>
              <w:t>a</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杠杆率a</w:t>
            </w:r>
            <w:r>
              <w:rPr>
                <w:rFonts w:hint="eastAsia" w:ascii="仿宋_GB2312" w:hAnsi="仿宋" w:eastAsia="仿宋_GB2312" w:cs="Arial Unicode MS"/>
                <w:color w:val="000000" w:themeColor="text1"/>
                <w:sz w:val="24"/>
                <w:szCs w:val="24"/>
                <w:lang w:eastAsia="zh-CN"/>
                <w14:textFill>
                  <w14:solidFill>
                    <w14:schemeClr w14:val="tx1"/>
                  </w14:solidFill>
                </w14:textFill>
              </w:rPr>
              <w:t>（</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6.75</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top"/>
          </w:tcPr>
          <w:p>
            <w:pPr>
              <w:rPr>
                <w:rFonts w:hint="default" w:ascii="Arial" w:hAnsi="Arial" w:cs="Arial"/>
                <w:sz w:val="24"/>
                <w:szCs w:val="24"/>
              </w:rPr>
            </w:pPr>
          </w:p>
        </w:tc>
        <w:tc>
          <w:tcPr>
            <w:tcW w:w="2138" w:type="dxa"/>
            <w:tcBorders>
              <w:right w:val="single" w:color="000000" w:sz="4" w:space="0"/>
            </w:tcBorders>
            <w:shd w:val="clear" w:color="000000" w:fill="D9D9D9"/>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15</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合格优质流动性资产</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23689826</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26201059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16</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现金净流出</w:t>
            </w:r>
            <w:r>
              <w:rPr>
                <w:rFonts w:hint="eastAsia" w:ascii="仿宋_GB2312" w:hAnsi="仿宋" w:eastAsia="仿宋_GB2312" w:cs="Arial Unicode MS"/>
                <w:color w:val="000000" w:themeColor="text1"/>
                <w:sz w:val="24"/>
                <w:szCs w:val="24"/>
                <w:lang w:eastAsia="zh-CN"/>
                <w14:textFill>
                  <w14:solidFill>
                    <w14:schemeClr w14:val="tx1"/>
                  </w14:solidFill>
                </w14:textFill>
              </w:rPr>
              <w:t>量</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22765452</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23401770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17</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流动性覆盖率（</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104.06</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111.96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29"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000000" w:fill="D9D9D9"/>
            <w:vAlign w:val="top"/>
          </w:tcPr>
          <w:p>
            <w:pPr>
              <w:rPr>
                <w:rFonts w:hint="default" w:ascii="Arial" w:hAnsi="Arial" w:cs="Arial"/>
                <w:sz w:val="24"/>
                <w:szCs w:val="24"/>
              </w:rPr>
            </w:pPr>
          </w:p>
        </w:tc>
        <w:tc>
          <w:tcPr>
            <w:tcW w:w="2138" w:type="dxa"/>
            <w:tcBorders>
              <w:right w:val="single" w:color="000000" w:sz="4" w:space="0"/>
            </w:tcBorders>
            <w:shd w:val="clear" w:color="000000" w:fill="D9D9D9"/>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18</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可用稳定资金</w:t>
            </w:r>
            <w:r>
              <w:rPr>
                <w:rFonts w:hint="eastAsia" w:ascii="仿宋_GB2312" w:hAnsi="仿宋" w:eastAsia="仿宋_GB2312" w:cs="Arial Unicode MS"/>
                <w:color w:val="000000" w:themeColor="text1"/>
                <w:sz w:val="24"/>
                <w:szCs w:val="24"/>
                <w:lang w:eastAsia="zh-CN"/>
                <w14:textFill>
                  <w14:solidFill>
                    <w14:schemeClr w14:val="tx1"/>
                  </w14:solidFill>
                </w14:textFill>
              </w:rPr>
              <w:t>合计</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162846775</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161884661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19</w:t>
            </w:r>
          </w:p>
        </w:tc>
        <w:tc>
          <w:tcPr>
            <w:tcW w:w="3692"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所需</w:t>
            </w:r>
            <w:r>
              <w:rPr>
                <w:rFonts w:hint="eastAsia" w:ascii="仿宋_GB2312" w:hAnsi="仿宋" w:eastAsia="仿宋_GB2312" w:cs="Arial Unicode MS"/>
                <w:color w:val="000000" w:themeColor="text1"/>
                <w:sz w:val="24"/>
                <w:szCs w:val="24"/>
                <w14:textFill>
                  <w14:solidFill>
                    <w14:schemeClr w14:val="tx1"/>
                  </w14:solidFill>
                </w14:textFill>
              </w:rPr>
              <w:t>稳定资金</w:t>
            </w:r>
            <w:r>
              <w:rPr>
                <w:rFonts w:hint="eastAsia" w:ascii="仿宋_GB2312" w:hAnsi="仿宋" w:eastAsia="仿宋_GB2312" w:cs="Arial Unicode MS"/>
                <w:color w:val="000000" w:themeColor="text1"/>
                <w:sz w:val="24"/>
                <w:szCs w:val="24"/>
                <w:lang w:eastAsia="zh-CN"/>
                <w14:textFill>
                  <w14:solidFill>
                    <w14:schemeClr w14:val="tx1"/>
                  </w14:solidFill>
                </w14:textFill>
              </w:rPr>
              <w:t>合计</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103390828</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101524266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20</w:t>
            </w:r>
          </w:p>
        </w:tc>
        <w:tc>
          <w:tcPr>
            <w:tcW w:w="3692"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净稳定资金比例（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157.51</w:t>
            </w:r>
          </w:p>
        </w:tc>
        <w:tc>
          <w:tcPr>
            <w:tcW w:w="2138" w:type="dxa"/>
            <w:tcBorders>
              <w:right w:val="single" w:color="000000" w:sz="4" w:space="0"/>
            </w:tcBorders>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159.45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29" w:type="dxa"/>
            <w:gridSpan w:val="2"/>
            <w:tcBorders>
              <w:left w:val="single" w:color="000000" w:sz="4" w:space="0"/>
            </w:tcBorders>
            <w:shd w:val="clear" w:color="auto" w:fill="D8D8D8"/>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055" w:type="dxa"/>
            <w:shd w:val="clear" w:color="auto" w:fill="D8D8D8"/>
            <w:vAlign w:val="top"/>
          </w:tcPr>
          <w:p>
            <w:pPr>
              <w:rPr>
                <w:rFonts w:hint="default" w:ascii="Arial" w:hAnsi="Arial" w:cs="Arial"/>
                <w:sz w:val="24"/>
                <w:szCs w:val="24"/>
              </w:rPr>
            </w:pPr>
          </w:p>
        </w:tc>
        <w:tc>
          <w:tcPr>
            <w:tcW w:w="2138" w:type="dxa"/>
            <w:tcBorders>
              <w:right w:val="single" w:color="000000" w:sz="4" w:space="0"/>
            </w:tcBorders>
            <w:shd w:val="clear" w:color="auto" w:fill="D8D8D8"/>
            <w:vAlign w:val="top"/>
          </w:tcPr>
          <w:p>
            <w:pPr>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bottom w:val="single" w:color="000000" w:sz="4" w:space="0"/>
            </w:tcBorders>
            <w:shd w:val="clear" w:color="auto" w:fill="FFFFFF"/>
            <w:vAlign w:val="center"/>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21</w:t>
            </w:r>
          </w:p>
        </w:tc>
        <w:tc>
          <w:tcPr>
            <w:tcW w:w="3692" w:type="dxa"/>
            <w:tcBorders>
              <w:bottom w:val="single" w:color="000000" w:sz="4" w:space="0"/>
            </w:tcBorders>
            <w:shd w:val="clear" w:color="auto" w:fill="FFFFFF"/>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流动性比例（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055" w:type="dxa"/>
            <w:tcBorders>
              <w:bottom w:val="single" w:color="000000" w:sz="4" w:space="0"/>
            </w:tcBorders>
            <w:shd w:val="clear" w:color="auto" w:fill="FFFFFF"/>
            <w:vAlign w:val="bottom"/>
          </w:tcPr>
          <w:p>
            <w:pPr>
              <w:keepNext w:val="0"/>
              <w:keepLines w:val="0"/>
              <w:widowControl/>
              <w:suppressLineNumbers w:val="0"/>
              <w:jc w:val="center"/>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92.19</w:t>
            </w:r>
          </w:p>
        </w:tc>
        <w:tc>
          <w:tcPr>
            <w:tcW w:w="2138" w:type="dxa"/>
            <w:tcBorders>
              <w:bottom w:val="single" w:color="000000" w:sz="4" w:space="0"/>
              <w:right w:val="single" w:color="000000" w:sz="4" w:space="0"/>
            </w:tcBorders>
            <w:shd w:val="clear" w:color="auto" w:fill="FFFFFF"/>
            <w:vAlign w:val="bottom"/>
          </w:tcPr>
          <w:p>
            <w:pPr>
              <w:keepNext w:val="0"/>
              <w:keepLines w:val="0"/>
              <w:widowControl/>
              <w:suppressLineNumbers w:val="0"/>
              <w:jc w:val="center"/>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94.84</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附表二：OV1风险加权资产概况</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7" w:type="dxa"/>
        <w:tblInd w:w="0" w:type="dxa"/>
        <w:tblLayout w:type="fixed"/>
        <w:tblCellMar>
          <w:top w:w="0" w:type="dxa"/>
          <w:left w:w="108" w:type="dxa"/>
          <w:bottom w:w="0" w:type="dxa"/>
          <w:right w:w="108" w:type="dxa"/>
        </w:tblCellMar>
      </w:tblPr>
      <w:tblGrid>
        <w:gridCol w:w="478"/>
        <w:gridCol w:w="1811"/>
        <w:gridCol w:w="2079"/>
        <w:gridCol w:w="2136"/>
        <w:gridCol w:w="2022"/>
        <w:gridCol w:w="1"/>
      </w:tblGrid>
      <w:tr>
        <w:tblPrEx>
          <w:tblLayout w:type="fixed"/>
          <w:tblCellMar>
            <w:top w:w="0" w:type="dxa"/>
            <w:left w:w="108" w:type="dxa"/>
            <w:bottom w:w="0" w:type="dxa"/>
            <w:right w:w="108" w:type="dxa"/>
          </w:tblCellMar>
        </w:tblPrEx>
        <w:trPr>
          <w:gridAfter w:val="1"/>
          <w:wAfter w:w="1" w:type="dxa"/>
          <w:trHeight w:val="330" w:hRule="atLeast"/>
        </w:trPr>
        <w:tc>
          <w:tcPr>
            <w:tcW w:w="2289" w:type="dxa"/>
            <w:gridSpan w:val="2"/>
            <w:vMerge w:val="restart"/>
            <w:tcBorders>
              <w:top w:val="single" w:color="000000" w:sz="4" w:space="0"/>
              <w:left w:val="single" w:color="000000"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tc>
        <w:tc>
          <w:tcPr>
            <w:tcW w:w="2079" w:type="dxa"/>
            <w:tcBorders>
              <w:top w:val="single" w:color="000000" w:sz="4" w:space="0"/>
              <w:left w:val="nil"/>
              <w:bottom w:val="single" w:color="auto" w:sz="4" w:space="0"/>
              <w:righ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2136" w:type="dxa"/>
            <w:tcBorders>
              <w:top w:val="single" w:color="000000" w:sz="4" w:space="0"/>
              <w:left w:val="single" w:color="auto" w:sz="4" w:space="0"/>
              <w:bottom w:val="single" w:color="auto" w:sz="4" w:space="0"/>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b</w:t>
            </w:r>
          </w:p>
        </w:tc>
        <w:tc>
          <w:tcPr>
            <w:tcW w:w="2022" w:type="dxa"/>
            <w:tcBorders>
              <w:top w:val="single" w:color="000000" w:sz="4" w:space="0"/>
              <w:left w:val="single" w:color="auto" w:sz="4" w:space="0"/>
              <w:bottom w:val="single" w:color="auto" w:sz="4" w:space="0"/>
              <w:righ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c</w:t>
            </w:r>
          </w:p>
        </w:tc>
      </w:tr>
      <w:tr>
        <w:tblPrEx>
          <w:tblLayout w:type="fixed"/>
          <w:tblCellMar>
            <w:top w:w="0" w:type="dxa"/>
            <w:left w:w="108" w:type="dxa"/>
            <w:bottom w:w="0" w:type="dxa"/>
            <w:right w:w="108" w:type="dxa"/>
          </w:tblCellMar>
        </w:tblPrEx>
        <w:trPr>
          <w:gridAfter w:val="1"/>
          <w:wAfter w:w="1" w:type="dxa"/>
          <w:trHeight w:val="330" w:hRule="atLeast"/>
        </w:trPr>
        <w:tc>
          <w:tcPr>
            <w:tcW w:w="2289" w:type="dxa"/>
            <w:gridSpan w:val="2"/>
            <w:vMerge w:val="continue"/>
            <w:tcBorders>
              <w:left w:val="single" w:color="000000"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4215" w:type="dxa"/>
            <w:gridSpan w:val="2"/>
            <w:tcBorders>
              <w:top w:val="single" w:color="auto" w:sz="4" w:space="0"/>
              <w:left w:val="nil"/>
              <w:bottom w:val="single" w:color="auto" w:sz="4" w:space="0"/>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风险加权资产</w:t>
            </w:r>
          </w:p>
        </w:tc>
        <w:tc>
          <w:tcPr>
            <w:tcW w:w="2022" w:type="dxa"/>
            <w:tcBorders>
              <w:top w:val="single" w:color="auto" w:sz="4" w:space="0"/>
              <w:left w:val="single" w:color="auto" w:sz="4" w:space="0"/>
              <w:bottom w:val="single" w:color="auto" w:sz="4" w:space="0"/>
              <w:right w:val="single" w:color="000000" w:sz="4" w:space="0"/>
            </w:tcBorders>
            <w:vAlign w:val="center"/>
          </w:tcPr>
          <w:p>
            <w:pPr>
              <w:snapToGrid w:val="0"/>
              <w:spacing w:line="480" w:lineRule="exact"/>
              <w:ind w:left="-295" w:firstLine="295"/>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最低资本要求</w:t>
            </w:r>
          </w:p>
        </w:tc>
      </w:tr>
      <w:tr>
        <w:tblPrEx>
          <w:tblLayout w:type="fixed"/>
          <w:tblCellMar>
            <w:top w:w="0" w:type="dxa"/>
            <w:left w:w="108" w:type="dxa"/>
            <w:bottom w:w="0" w:type="dxa"/>
            <w:right w:w="108" w:type="dxa"/>
          </w:tblCellMar>
        </w:tblPrEx>
        <w:trPr>
          <w:gridAfter w:val="1"/>
          <w:wAfter w:w="1" w:type="dxa"/>
          <w:trHeight w:val="330" w:hRule="atLeast"/>
        </w:trPr>
        <w:tc>
          <w:tcPr>
            <w:tcW w:w="2289" w:type="dxa"/>
            <w:gridSpan w:val="2"/>
            <w:vMerge w:val="continue"/>
            <w:tcBorders>
              <w:left w:val="single" w:color="000000" w:sz="4" w:space="0"/>
              <w:bottom w:val="single" w:color="auto"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2079" w:type="dxa"/>
            <w:tcBorders>
              <w:top w:val="nil"/>
              <w:left w:val="nil"/>
              <w:bottom w:val="single" w:color="auto" w:sz="4" w:space="0"/>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2025年6月30日</w:t>
            </w:r>
          </w:p>
        </w:tc>
        <w:tc>
          <w:tcPr>
            <w:tcW w:w="2136" w:type="dxa"/>
            <w:tcBorders>
              <w:top w:val="single" w:color="auto" w:sz="4" w:space="0"/>
              <w:left w:val="single" w:color="auto" w:sz="4" w:space="0"/>
              <w:bottom w:val="single" w:color="auto" w:sz="4" w:space="0"/>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2025年3月31日</w:t>
            </w:r>
          </w:p>
        </w:tc>
        <w:tc>
          <w:tcPr>
            <w:tcW w:w="2022" w:type="dxa"/>
            <w:tcBorders>
              <w:top w:val="single" w:color="auto" w:sz="4" w:space="0"/>
              <w:left w:val="single" w:color="auto" w:sz="4" w:space="0"/>
              <w:bottom w:val="single" w:color="auto" w:sz="4" w:space="0"/>
              <w:righ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2025年6月30日</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信用风险</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147910053</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147701544</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11832804</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2</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市场风险</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1550465</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2461745</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124037</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3</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操作风险</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7467778</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7467778</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597422</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4</w:t>
            </w:r>
          </w:p>
        </w:tc>
        <w:tc>
          <w:tcPr>
            <w:tcW w:w="1811"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交易账簿和银行账簿间转换的资本要求</w:t>
            </w:r>
          </w:p>
        </w:tc>
        <w:tc>
          <w:tcPr>
            <w:tcW w:w="2079"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2136"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c>
          <w:tcPr>
            <w:tcW w:w="202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000000"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1811" w:type="dxa"/>
            <w:tcBorders>
              <w:top w:val="nil"/>
              <w:left w:val="single" w:color="auto" w:sz="4" w:space="0"/>
              <w:bottom w:val="single" w:color="000000" w:sz="4" w:space="0"/>
              <w:right w:val="single" w:color="auto" w:sz="4" w:space="0"/>
            </w:tcBorders>
            <w:vAlign w:val="center"/>
          </w:tcPr>
          <w:p>
            <w:pPr>
              <w:snapToGrid w:val="0"/>
              <w:spacing w:line="480" w:lineRule="exact"/>
              <w:rPr>
                <w:rFonts w:ascii="仿宋_GB2312" w:hAnsi="仿宋" w:eastAsia="仿宋_GB2312" w:cs="Arial Unicode MS"/>
                <w:b/>
                <w:bCs/>
                <w:color w:val="000000" w:themeColor="text1"/>
                <w:sz w:val="24"/>
                <w:szCs w:val="24"/>
                <w:lang w:eastAsia="zh-CN"/>
                <w14:textFill>
                  <w14:solidFill>
                    <w14:schemeClr w14:val="tx1"/>
                  </w14:solidFill>
                </w14:textFill>
              </w:rPr>
            </w:pPr>
            <w:r>
              <w:rPr>
                <w:rFonts w:hint="eastAsia" w:ascii="仿宋_GB2312" w:hAnsi="仿宋" w:eastAsia="仿宋_GB2312" w:cs="Arial Unicode MS"/>
                <w:b/>
                <w:bCs/>
                <w:color w:val="000000" w:themeColor="text1"/>
                <w:sz w:val="24"/>
                <w:szCs w:val="24"/>
                <w:lang w:eastAsia="zh-CN"/>
                <w14:textFill>
                  <w14:solidFill>
                    <w14:schemeClr w14:val="tx1"/>
                  </w14:solidFill>
                </w14:textFill>
              </w:rPr>
              <w:t>合计</w:t>
            </w:r>
          </w:p>
        </w:tc>
        <w:tc>
          <w:tcPr>
            <w:tcW w:w="2079" w:type="dxa"/>
            <w:tcBorders>
              <w:top w:val="nil"/>
              <w:left w:val="nil"/>
              <w:bottom w:val="single" w:color="000000"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156928295</w:t>
            </w:r>
          </w:p>
        </w:tc>
        <w:tc>
          <w:tcPr>
            <w:tcW w:w="2136" w:type="dxa"/>
            <w:tcBorders>
              <w:top w:val="single" w:color="auto" w:sz="4" w:space="0"/>
              <w:left w:val="single" w:color="auto" w:sz="4" w:space="0"/>
              <w:bottom w:val="single" w:color="000000"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157631067</w:t>
            </w:r>
          </w:p>
        </w:tc>
        <w:tc>
          <w:tcPr>
            <w:tcW w:w="2023" w:type="dxa"/>
            <w:gridSpan w:val="2"/>
            <w:tcBorders>
              <w:top w:val="single" w:color="auto" w:sz="4" w:space="0"/>
              <w:left w:val="single" w:color="auto" w:sz="4" w:space="0"/>
              <w:bottom w:val="single" w:color="000000"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12554264</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附表三：资本构成</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20"/>
        <w:gridCol w:w="5895"/>
        <w:gridCol w:w="1275"/>
        <w:gridCol w:w="6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6415" w:type="dxa"/>
            <w:gridSpan w:val="2"/>
            <w:vMerge w:val="restart"/>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275" w:type="dxa"/>
            <w:tcBorders>
              <w:top w:val="single" w:color="000000" w:sz="4" w:space="0"/>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c>
          <w:tcPr>
            <w:tcW w:w="646" w:type="dxa"/>
            <w:tcBorders>
              <w:top w:val="single" w:color="000000" w:sz="4" w:space="0"/>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6415" w:type="dxa"/>
            <w:gridSpan w:val="2"/>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数额</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实收资本和资本公积可计入部分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4505300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e+g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留存收益</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12730737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2a</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盈余公积</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5979068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2b</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一般风险准备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4598085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2c</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未分配利润</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2153584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累计其他综合收益</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703666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少数股东资本可计入部分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2877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扣除前的核心一级资本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17942580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核心一级资本：扣除项</w:t>
            </w:r>
            <w:r>
              <w:rPr>
                <w:rStyle w:val="4"/>
                <w:rFonts w:hAnsi="宋体"/>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审慎估值调整</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商誉（扣除递延税负债）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其他无形资产（土地使用权除外）（扣除递延税负债）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306418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依赖未来盈利的由经营亏损引起的净递延税资产</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对未按公允价值计量的项目进行套期形成的现金流储备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损失准备缺口</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资产证券化销售利得</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自身信用风险变化导致其负债公允价值变化带来的未实现损益</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确定受益类的养老金资产净额（扣除递延税负债）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直接或间接持有本银行的股票</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银行间或银行与其他金融机构间通过协议相互持有的核心一级资本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对未并表金融机构小额少数资本投资中的核心一级资本中应扣除金额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对未并表金融机构大额少数资本投资中的核心一级资本中应扣除金额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85615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其他依赖于银行未来盈利的净递延税资产中应扣除金额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对未并表金融机构大额少数资本投资中的核心一级资本和其他依赖于银行未来盈利的净递延税资产的未扣除部分超过核心一级资本15%的应扣除金额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495087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其中：应在对金融机构大额少数资本投资中扣除的金额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285957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其中：应在其他依赖于银行未来盈利的净递延税资产中扣除的金额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209130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其他应在核心一级资本中扣除的项目合计</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应从其他一级资本和二级资本中扣除的未扣缺口</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核心一级资本扣除项总和</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887119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17055461</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其他一级资本工具及其溢价</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其中：权益部分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其中：负债部分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少数股东资本可计入部分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384</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扣除前的其他一级资本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384</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直接或间接持有的本银行其他一级资本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银行间或银行与其他金融机构间通过协议相互持有的其他一级资本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对未并表金融机构小额少数资本投资中的其他一级资本中应扣除金额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对未并表金融机构大额少数资本投资中的其他一级资本中应扣除金额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其他应在其他一级资本中扣除的项目合计</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应从二级资本中扣除的未扣缺口</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其他一级资本扣除项总和</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384</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一级资本净额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17055845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二级资本工具及其溢价</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1507171</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少数股东资本可计入部分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767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超额损失准备可计入部分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1826050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扣除前的二级资本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3333988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直接或间接持有的本银行的二级资本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银行间或银行与其他金融机构间通过协议相互持有的其他一级资本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对未并表金融机构小额少数资本投资中的二级资本中应扣除金额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对未并表金融机构大额少数资本投资中的二级资本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其他应在二级资本中扣除的项目合计</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二级资本扣除项总和</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3333988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总资本净额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20389833</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风险加权资产</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156928295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10.87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10.87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12.9931</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其他各级资本要求（%）</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2.50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其中：储备资本要求</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2.50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其中：逆周期资本要求</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其中：全球系统重要性银行或国内系统重要性银行附加资本要求</w:t>
            </w:r>
          </w:p>
        </w:tc>
        <w:tc>
          <w:tcPr>
            <w:tcW w:w="1275" w:type="dxa"/>
            <w:tcBorders>
              <w:top w:val="nil"/>
              <w:left w:val="nil"/>
              <w:bottom w:val="single" w:color="000000" w:sz="8" w:space="0"/>
              <w:right w:val="single" w:color="000000" w:sz="8" w:space="0"/>
            </w:tcBorders>
            <w:shd w:val="clear" w:color="auto" w:fill="BEBEBE"/>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满足最低资本要求后的可用核心一级资本净额占风险加权资产的比例（%）</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5.87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核心一级资本充足率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对未并表金融机构的小额少数资本投资中未扣除部分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302120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对未并表金融机构的大额少数资本投资中未扣除部分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1763616</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其他依赖于银行未来盈利的净递延税资产（扣除递延税负债）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可计入二级资本的超额损失准备的限额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权重法下，实际计提的超额损失准备金额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4276276</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69</w:t>
            </w:r>
          </w:p>
        </w:tc>
        <w:tc>
          <w:tcPr>
            <w:tcW w:w="58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权重法下，可计入二级资本超额损失准备的数额</w:t>
            </w:r>
          </w:p>
        </w:tc>
        <w:tc>
          <w:tcPr>
            <w:tcW w:w="1275"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1826050</w:t>
            </w:r>
          </w:p>
        </w:tc>
        <w:tc>
          <w:tcPr>
            <w:tcW w:w="64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附表四：集团财务并表和监管并表下的资产负债表差异</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72"/>
        <w:gridCol w:w="3370"/>
        <w:gridCol w:w="1911"/>
        <w:gridCol w:w="1911"/>
        <w:gridCol w:w="5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3942" w:type="dxa"/>
            <w:gridSpan w:val="2"/>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911" w:type="dxa"/>
            <w:tcBorders>
              <w:top w:val="single" w:color="000000" w:sz="4" w:space="0"/>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c>
          <w:tcPr>
            <w:tcW w:w="1911" w:type="dxa"/>
            <w:tcBorders>
              <w:top w:val="single" w:color="000000" w:sz="4" w:space="0"/>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c>
          <w:tcPr>
            <w:tcW w:w="572" w:type="dxa"/>
            <w:tcBorders>
              <w:top w:val="single" w:color="000000" w:sz="4" w:space="0"/>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3942" w:type="dxa"/>
            <w:gridSpan w:val="2"/>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财务并表范围下的资产负债表</w:t>
            </w:r>
          </w:p>
        </w:tc>
        <w:tc>
          <w:tcPr>
            <w:tcW w:w="1911"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监管并表范围下的资产负债表</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5"/>
            <w:tcBorders>
              <w:top w:val="nil"/>
              <w:left w:val="single" w:color="000000" w:sz="4" w:space="0"/>
              <w:bottom w:val="single" w:color="000000" w:sz="8" w:space="0"/>
              <w:right w:val="single" w:color="000000" w:sz="4" w:space="0"/>
            </w:tcBorders>
            <w:shd w:val="clear" w:color="auto" w:fill="A6A6A6"/>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现金及存放中央银行款项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9899020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9882875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存放同业款项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2018927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2019105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贵金属</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拆出资金</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7026518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7023690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衍生金融资产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97342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122145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买入返售金融资产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持有待售资产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其他应收款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185735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发放贷款和垫款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131961313</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136408616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金融投资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66618172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65970879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其中：交易性金融资产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11329197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11338826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其中：债权投资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30287765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29922647</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其中：其他债权投资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24404115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24210905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其中：其他权益工具投资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597095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498500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长期股权投资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1688714</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1575731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投资性房地产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19919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固定资产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1304700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1311418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在建工程</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63496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97912</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使用权资产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86446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186141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商誉</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无形资产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445158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408016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其中：其他无形资产（土地使用权除外）</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306418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长期待摊费用</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28181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抵债资产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递延所得税资产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1401666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1366719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617443</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757474</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减：各项资产减值损失准备</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-4625709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28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资产合计</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223248834</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222718926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5"/>
            <w:tcBorders>
              <w:top w:val="nil"/>
              <w:left w:val="single" w:color="000000" w:sz="4" w:space="0"/>
              <w:bottom w:val="single" w:color="000000" w:sz="8"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负债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向中央银行借款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6228257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同业及其他金融机构存放款项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24997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22329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拆入资金</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4173758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4171586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交易性金融负债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1066485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1066485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衍生金融负债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98527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122532</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卖出回购金融资产款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7494329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13708529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吸收存款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178047945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173544296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应付债券</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6246788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6246788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应付职工薪酬</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168922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369312</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应交税费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314568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267679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持有待售负债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其他应付款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144660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租赁负债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77514</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递延所得税负债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76930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其中：与商誉相关的递延所得税负债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其中：与无形资产相关的递延所得税负债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预计负债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173290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340275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564326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4683596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47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负债合计</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204679706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204764997</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5"/>
            <w:tcBorders>
              <w:top w:val="nil"/>
              <w:left w:val="single" w:color="000000" w:sz="4" w:space="0"/>
              <w:bottom w:val="single" w:color="000000" w:sz="8"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所有者权益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实收资本（或股本）</w:t>
            </w:r>
          </w:p>
        </w:tc>
        <w:tc>
          <w:tcPr>
            <w:tcW w:w="1911" w:type="dxa"/>
            <w:tcBorders>
              <w:top w:val="nil"/>
              <w:left w:val="nil"/>
              <w:bottom w:val="single" w:color="000000" w:sz="8" w:space="0"/>
              <w:right w:val="single" w:color="000000" w:sz="8" w:space="0"/>
            </w:tcBorders>
            <w:shd w:val="clear" w:color="auto" w:fill="FFFFFF"/>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2018541</w:t>
            </w:r>
          </w:p>
        </w:tc>
        <w:tc>
          <w:tcPr>
            <w:tcW w:w="1911" w:type="dxa"/>
            <w:tcBorders>
              <w:top w:val="nil"/>
              <w:left w:val="nil"/>
              <w:bottom w:val="single" w:color="000000" w:sz="8" w:space="0"/>
              <w:right w:val="single" w:color="000000" w:sz="8" w:space="0"/>
            </w:tcBorders>
            <w:shd w:val="clear" w:color="auto" w:fill="FFFFFF"/>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2018541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其中：可计入核心一级资本的数额</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2018541</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2018541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其中：可计入其他一级资本的数额</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其他权益工具</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其中：优先股</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永续债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资本公积</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2418583</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2486759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其他综合收益</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632640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703666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盈余公积</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5979150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5979068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一般风险准备</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4618413</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4598085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未分配利润</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2887892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2153584</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少数股东权益</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13909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14226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60</w:t>
            </w:r>
          </w:p>
        </w:tc>
        <w:tc>
          <w:tcPr>
            <w:tcW w:w="3370"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所有者权益合计</w:t>
            </w:r>
          </w:p>
        </w:tc>
        <w:tc>
          <w:tcPr>
            <w:tcW w:w="1911"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18569128</w:t>
            </w:r>
          </w:p>
        </w:tc>
        <w:tc>
          <w:tcPr>
            <w:tcW w:w="1911"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17953929</w:t>
            </w:r>
          </w:p>
        </w:tc>
        <w:tc>
          <w:tcPr>
            <w:tcW w:w="572"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附表五：LR1杠杆率监管项目与相关会计项目的差异</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476"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559"/>
        <w:gridCol w:w="5985"/>
        <w:gridCol w:w="1932"/>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6544" w:type="dxa"/>
            <w:gridSpan w:val="2"/>
            <w:tcBorders>
              <w:top w:val="single" w:color="000000" w:sz="4" w:space="0"/>
              <w:left w:val="single" w:color="000000" w:sz="4" w:space="0"/>
              <w:bottom w:val="single" w:color="auto" w:sz="4" w:space="0"/>
              <w:right w:val="single" w:color="auto" w:sz="4" w:space="0"/>
            </w:tcBorders>
            <w:vAlign w:val="bottom"/>
          </w:tcPr>
          <w:p>
            <w:pPr>
              <w:snapToGrid w:val="0"/>
              <w:spacing w:line="480" w:lineRule="exact"/>
              <w:jc w:val="center"/>
              <w:rPr>
                <w:rFonts w:ascii="仿宋_GB2312" w:eastAsia="仿宋_GB2312" w:cs="宋体"/>
                <w:b/>
                <w:bCs/>
                <w:color w:val="000000" w:themeColor="text1"/>
                <w:sz w:val="24"/>
                <w:szCs w:val="24"/>
                <w:lang w:eastAsia="zh-CN"/>
                <w14:textFill>
                  <w14:solidFill>
                    <w14:schemeClr w14:val="tx1"/>
                  </w14:solidFill>
                </w14:textFill>
              </w:rPr>
            </w:pPr>
          </w:p>
        </w:tc>
        <w:tc>
          <w:tcPr>
            <w:tcW w:w="1932" w:type="dxa"/>
            <w:tcBorders>
              <w:top w:val="single" w:color="000000" w:sz="4" w:space="0"/>
              <w:left w:val="nil"/>
              <w:bottom w:val="single" w:color="auto" w:sz="4" w:space="0"/>
              <w:right w:val="single" w:color="000000" w:sz="4" w:space="0"/>
            </w:tcBorders>
            <w:vAlign w:val="bottom"/>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sz w:val="24"/>
                <w:szCs w:val="24"/>
                <w14:textFill>
                  <w14:solidFill>
                    <w14:schemeClr w14:val="tx1"/>
                  </w14:solidFill>
                </w14:textFill>
              </w:rPr>
              <w:t>a</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并表总资产</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223248834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77"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并表调整项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-529908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67"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客户资产调整项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4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衍生工具调整项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176861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4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证券融资交易调整项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211381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5985" w:type="dxa"/>
            <w:tcBorders>
              <w:top w:val="nil"/>
              <w:left w:val="nil"/>
              <w:bottom w:val="single" w:color="auto" w:sz="4" w:space="0"/>
              <w:right w:val="single" w:color="auto" w:sz="4" w:space="0"/>
            </w:tcBorders>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表外项目调整项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30680818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资产证券化交易调整项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未结算金融资产调整项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04"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9</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现金池调整项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6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10</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存款准备金调整项（如有）</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9"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11</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Segoe UI"/>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审慎估值和减值准备调整项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-1164932</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9"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12</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其他调整项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000000" w:sz="4" w:space="0"/>
              <w:right w:val="single" w:color="auto" w:sz="4" w:space="0"/>
            </w:tcBorders>
            <w:vAlign w:val="center"/>
          </w:tcPr>
          <w:p>
            <w:pPr>
              <w:snapToGrid w:val="0"/>
              <w:spacing w:line="480" w:lineRule="exact"/>
              <w:jc w:val="center"/>
              <w:rPr>
                <w:rFonts w:ascii="仿宋_GB2312" w:hAnsi="宋体" w:eastAsia="仿宋_GB2312" w:cs="宋体"/>
                <w:b/>
                <w:bCs/>
                <w:color w:val="000000" w:themeColor="text1"/>
                <w:sz w:val="24"/>
                <w:szCs w:val="24"/>
                <w14:textFill>
                  <w14:solidFill>
                    <w14:schemeClr w14:val="tx1"/>
                  </w14:solidFill>
                </w14:textFill>
              </w:rPr>
            </w:pPr>
            <w:r>
              <w:rPr>
                <w:rFonts w:ascii="仿宋_GB2312" w:hAnsi="宋体" w:eastAsia="仿宋_GB2312" w:cs="宋体"/>
                <w:b/>
                <w:bCs/>
                <w:color w:val="000000" w:themeColor="text1"/>
                <w:sz w:val="24"/>
                <w:szCs w:val="24"/>
                <w:lang w:eastAsia="zh-CN"/>
                <w14:textFill>
                  <w14:solidFill>
                    <w14:schemeClr w14:val="tx1"/>
                  </w14:solidFill>
                </w14:textFill>
              </w:rPr>
              <w:t>13</w:t>
            </w:r>
          </w:p>
        </w:tc>
        <w:tc>
          <w:tcPr>
            <w:tcW w:w="5985" w:type="dxa"/>
            <w:tcBorders>
              <w:top w:val="nil"/>
              <w:left w:val="nil"/>
              <w:bottom w:val="single" w:color="000000" w:sz="4" w:space="0"/>
              <w:right w:val="single" w:color="auto" w:sz="4" w:space="0"/>
            </w:tcBorders>
            <w:vAlign w:val="center"/>
          </w:tcPr>
          <w:p>
            <w:pPr>
              <w:snapToGrid w:val="0"/>
              <w:spacing w:line="480" w:lineRule="exact"/>
              <w:rPr>
                <w:rFonts w:ascii="仿宋_GB2312" w:eastAsia="仿宋_GB2312" w:cs="宋体"/>
                <w:b/>
                <w:bCs/>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sz w:val="24"/>
                <w:szCs w:val="24"/>
                <w:lang w:eastAsia="zh-CN"/>
                <w14:textFill>
                  <w14:solidFill>
                    <w14:schemeClr w14:val="tx1"/>
                  </w14:solidFill>
                </w14:textFill>
              </w:rPr>
              <w:t>调整后表内外资产余额</w:t>
            </w:r>
          </w:p>
        </w:tc>
        <w:tc>
          <w:tcPr>
            <w:tcW w:w="1932" w:type="dxa"/>
            <w:tcBorders>
              <w:top w:val="nil"/>
              <w:left w:val="nil"/>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b/>
                <w:bC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252623055</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附表六：LR2杠杆率</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2"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719"/>
        <w:gridCol w:w="4786"/>
        <w:gridCol w:w="1508"/>
        <w:gridCol w:w="2"/>
        <w:gridCol w:w="1507"/>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5505" w:type="dxa"/>
            <w:gridSpan w:val="2"/>
            <w:vMerge w:val="restart"/>
            <w:tcBorders>
              <w:top w:val="single" w:color="000000" w:sz="4" w:space="0"/>
              <w:left w:val="single" w:color="000000" w:sz="4" w:space="0"/>
              <w:bottom w:val="single" w:color="auto" w:sz="4" w:space="0"/>
              <w:right w:val="single" w:color="auto" w:sz="4" w:space="0"/>
            </w:tcBorders>
            <w:vAlign w:val="bottom"/>
          </w:tcPr>
          <w:p>
            <w:pPr>
              <w:snapToGrid w:val="0"/>
              <w:spacing w:line="480" w:lineRule="exact"/>
              <w:jc w:val="center"/>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　</w:t>
            </w:r>
          </w:p>
        </w:tc>
        <w:tc>
          <w:tcPr>
            <w:tcW w:w="1508" w:type="dxa"/>
            <w:tcBorders>
              <w:top w:val="single" w:color="000000" w:sz="4" w:space="0"/>
              <w:left w:val="nil"/>
              <w:bottom w:val="single" w:color="auto" w:sz="4" w:space="0"/>
              <w:right w:val="single" w:color="auto" w:sz="4" w:space="0"/>
            </w:tcBorders>
            <w:vAlign w:val="bottom"/>
          </w:tcPr>
          <w:p>
            <w:pPr>
              <w:snapToGrid w:val="0"/>
              <w:spacing w:line="480" w:lineRule="exact"/>
              <w:jc w:val="center"/>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sz w:val="24"/>
                <w:szCs w:val="24"/>
                <w:lang w:eastAsia="zh-CN"/>
                <w14:textFill>
                  <w14:solidFill>
                    <w14:schemeClr w14:val="tx1"/>
                  </w14:solidFill>
                </w14:textFill>
              </w:rPr>
              <w:t>a</w:t>
            </w:r>
          </w:p>
        </w:tc>
        <w:tc>
          <w:tcPr>
            <w:tcW w:w="1509" w:type="dxa"/>
            <w:gridSpan w:val="2"/>
            <w:tcBorders>
              <w:top w:val="single" w:color="000000" w:sz="4" w:space="0"/>
              <w:left w:val="single" w:color="auto" w:sz="4" w:space="0"/>
              <w:bottom w:val="single" w:color="auto" w:sz="4" w:space="0"/>
              <w:right w:val="single" w:color="000000" w:sz="4" w:space="0"/>
            </w:tcBorders>
            <w:vAlign w:val="bottom"/>
          </w:tcPr>
          <w:p>
            <w:pPr>
              <w:snapToGrid w:val="0"/>
              <w:spacing w:line="480" w:lineRule="exact"/>
              <w:jc w:val="center"/>
              <w:rPr>
                <w:rFonts w:hint="default" w:ascii="仿宋_GB2312" w:hAnsi="宋体" w:eastAsia="仿宋_GB2312" w:cs="宋体"/>
                <w:color w:val="000000" w:themeColor="text1"/>
                <w:sz w:val="24"/>
                <w:szCs w:val="24"/>
                <w:lang w:val="en-US" w:eastAsia="zh-CN"/>
                <w14:textFill>
                  <w14:solidFill>
                    <w14:schemeClr w14:val="tx1"/>
                  </w14:solidFill>
                </w14:textFill>
              </w:rPr>
            </w:pPr>
            <w:r>
              <w:rPr>
                <w:rFonts w:hint="eastAsia" w:ascii="仿宋_GB2312" w:hAnsi="宋体" w:eastAsia="仿宋_GB2312" w:cs="宋体"/>
                <w:color w:val="000000" w:themeColor="text1"/>
                <w:sz w:val="24"/>
                <w:szCs w:val="24"/>
                <w:lang w:val="en-US" w:eastAsia="zh-CN"/>
                <w14:textFill>
                  <w14:solidFill>
                    <w14:schemeClr w14:val="tx1"/>
                  </w14:solidFill>
                </w14:textFill>
              </w:rPr>
              <w:t>b</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5505" w:type="dxa"/>
            <w:gridSpan w:val="2"/>
            <w:vMerge w:val="continue"/>
            <w:tcBorders>
              <w:top w:val="single" w:color="auto" w:sz="4" w:space="0"/>
              <w:left w:val="single" w:color="000000" w:sz="4" w:space="0"/>
              <w:bottom w:val="single" w:color="auto" w:sz="4" w:space="0"/>
              <w:right w:val="single" w:color="auto" w:sz="4" w:space="0"/>
            </w:tcBorders>
            <w:vAlign w:val="center"/>
          </w:tcPr>
          <w:p>
            <w:pPr>
              <w:spacing w:line="480" w:lineRule="exact"/>
              <w:rPr>
                <w:rFonts w:ascii="仿宋_GB2312" w:eastAsia="仿宋_GB2312" w:cs="宋体"/>
                <w:color w:val="000000" w:themeColor="text1"/>
                <w:sz w:val="24"/>
                <w:szCs w:val="24"/>
                <w:lang w:eastAsia="zh-CN"/>
                <w14:textFill>
                  <w14:solidFill>
                    <w14:schemeClr w14:val="tx1"/>
                  </w14:solidFill>
                </w14:textFill>
              </w:rPr>
            </w:pPr>
          </w:p>
        </w:tc>
        <w:tc>
          <w:tcPr>
            <w:tcW w:w="1508" w:type="dxa"/>
            <w:tcBorders>
              <w:top w:val="nil"/>
              <w:left w:val="nil"/>
              <w:bottom w:val="single" w:color="auto" w:sz="4" w:space="0"/>
              <w:right w:val="single" w:color="auto" w:sz="4" w:space="0"/>
            </w:tcBorders>
            <w:vAlign w:val="bottom"/>
          </w:tcPr>
          <w:p>
            <w:pPr>
              <w:snapToGrid w:val="0"/>
              <w:spacing w:line="480" w:lineRule="exact"/>
              <w:jc w:val="center"/>
              <w:rPr>
                <w:rFonts w:hint="default" w:ascii="仿宋_GB2312" w:hAnsi="宋体" w:eastAsia="仿宋_GB2312" w:cs="宋体"/>
                <w:color w:val="000000" w:themeColor="text1"/>
                <w:sz w:val="24"/>
                <w:szCs w:val="24"/>
                <w:lang w:val="en-US" w:eastAsia="zh-CN"/>
                <w14:textFill>
                  <w14:solidFill>
                    <w14:schemeClr w14:val="tx1"/>
                  </w14:solidFill>
                </w14:textFill>
              </w:rPr>
            </w:pPr>
            <w:r>
              <w:rPr>
                <w:rFonts w:hint="eastAsia" w:ascii="仿宋_GB2312" w:hAnsi="宋体" w:eastAsia="仿宋_GB2312" w:cs="宋体"/>
                <w:color w:val="000000" w:themeColor="text1"/>
                <w:kern w:val="2"/>
                <w:sz w:val="24"/>
                <w:szCs w:val="24"/>
                <w:lang w:val="en-US" w:eastAsia="zh-CN"/>
                <w14:textFill>
                  <w14:solidFill>
                    <w14:schemeClr w14:val="tx1"/>
                  </w14:solidFill>
                </w14:textFill>
              </w:rPr>
              <w:t>2025年6月30日</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snapToGrid w:val="0"/>
              <w:spacing w:line="480" w:lineRule="exact"/>
              <w:jc w:val="center"/>
              <w:rPr>
                <w:rFonts w:hint="default" w:ascii="仿宋_GB2312" w:hAnsi="宋体" w:eastAsia="仿宋_GB2312" w:cs="宋体"/>
                <w:color w:val="000000" w:themeColor="text1"/>
                <w:kern w:val="2"/>
                <w:sz w:val="24"/>
                <w:szCs w:val="24"/>
                <w:lang w:val="en-US" w:eastAsia="zh-CN"/>
                <w14:textFill>
                  <w14:solidFill>
                    <w14:schemeClr w14:val="tx1"/>
                  </w14:solidFill>
                </w14:textFill>
              </w:rPr>
            </w:pPr>
            <w:r>
              <w:rPr>
                <w:rFonts w:hint="eastAsia" w:ascii="仿宋_GB2312" w:hAnsi="宋体" w:eastAsia="仿宋_GB2312" w:cs="宋体"/>
                <w:color w:val="000000" w:themeColor="text1"/>
                <w:kern w:val="2"/>
                <w:sz w:val="24"/>
                <w:szCs w:val="24"/>
                <w:lang w:val="en-US" w:eastAsia="zh-CN"/>
                <w14:textFill>
                  <w14:solidFill>
                    <w14:schemeClr w14:val="tx1"/>
                  </w14:solidFill>
                </w14:textFill>
              </w:rPr>
              <w:t>2025年3月31日</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7015" w:type="dxa"/>
            <w:gridSpan w:val="4"/>
            <w:tcBorders>
              <w:top w:val="single" w:color="auto" w:sz="4" w:space="0"/>
              <w:left w:val="single" w:color="000000" w:sz="4" w:space="0"/>
              <w:bottom w:val="single" w:color="auto" w:sz="4" w:space="0"/>
              <w:right w:val="single" w:color="auto" w:sz="4" w:space="0"/>
            </w:tcBorders>
            <w:shd w:val="clear" w:color="auto" w:fill="A6A6A6"/>
            <w:vAlign w:val="bottom"/>
          </w:tcPr>
          <w:p>
            <w:pPr>
              <w:snapToGrid w:val="0"/>
              <w:spacing w:line="480" w:lineRule="exact"/>
              <w:rPr>
                <w:rFonts w:ascii="仿宋_GB2312" w:eastAsia="仿宋_GB2312" w:cs="宋体"/>
                <w:b/>
                <w:color w:val="000000" w:themeColor="text1"/>
                <w:sz w:val="24"/>
                <w:szCs w:val="24"/>
                <w14:textFill>
                  <w14:solidFill>
                    <w14:schemeClr w14:val="tx1"/>
                  </w14:solidFill>
                </w14:textFill>
              </w:rPr>
            </w:pPr>
            <w:r>
              <w:rPr>
                <w:rFonts w:hint="eastAsia" w:ascii="仿宋_GB2312" w:hAnsi="宋体" w:eastAsia="仿宋_GB2312" w:cs="宋体"/>
                <w:b/>
                <w:color w:val="000000" w:themeColor="text1"/>
                <w:kern w:val="2"/>
                <w:sz w:val="24"/>
                <w:szCs w:val="24"/>
                <w14:textFill>
                  <w14:solidFill>
                    <w14:schemeClr w14:val="tx1"/>
                  </w14:solidFill>
                </w14:textFill>
              </w:rPr>
              <w:t>表内资产余额</w:t>
            </w:r>
          </w:p>
        </w:tc>
        <w:tc>
          <w:tcPr>
            <w:tcW w:w="1507" w:type="dxa"/>
            <w:tcBorders>
              <w:top w:val="single" w:color="auto" w:sz="4" w:space="0"/>
              <w:left w:val="single" w:color="auto" w:sz="4" w:space="0"/>
              <w:bottom w:val="single" w:color="auto" w:sz="4" w:space="0"/>
              <w:right w:val="single" w:color="000000" w:sz="4" w:space="0"/>
            </w:tcBorders>
            <w:shd w:val="clear" w:color="auto" w:fill="A6A6A6"/>
            <w:vAlign w:val="bottom"/>
          </w:tcPr>
          <w:p>
            <w:pPr>
              <w:snapToGrid w:val="0"/>
              <w:spacing w:line="480" w:lineRule="exact"/>
              <w:rPr>
                <w:rFonts w:hint="eastAsia" w:ascii="仿宋_GB2312" w:hAnsi="宋体" w:eastAsia="仿宋_GB2312" w:cs="宋体"/>
                <w:b/>
                <w:color w:val="000000" w:themeColor="text1"/>
                <w:kern w:val="2"/>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83"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表内资产（除衍生工具和证券融资交易外）</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227222490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225988708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减：减值准备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-4625709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-4765505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46"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减：一级资本扣除项</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-887119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-769145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调整后的表内资产余额（衍生工具和证券融资交易除外）</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221709662</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220454059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各类衍生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的重置成本（扣除合格保证金，考虑双边净额结算协议的影响）</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122145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153136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77"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各类衍生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的潜在风险暴露</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176861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304864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83"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已从资产负债表中扣除的抵质押品总和</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2"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减：因提供合格保证金形成的应收资产</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564"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9</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减：为客户提供清算服务时与中央交易对手交易形成的衍生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10</w:t>
            </w:r>
          </w:p>
        </w:tc>
        <w:tc>
          <w:tcPr>
            <w:tcW w:w="4786" w:type="dxa"/>
            <w:tcBorders>
              <w:top w:val="nil"/>
              <w:left w:val="nil"/>
              <w:bottom w:val="single" w:color="auto" w:sz="4" w:space="0"/>
              <w:right w:val="single" w:color="auto" w:sz="4" w:space="0"/>
            </w:tcBorders>
            <w:vAlign w:val="center"/>
          </w:tcPr>
          <w:p>
            <w:pPr>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卖出信用衍生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的名义本金</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99"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11</w:t>
            </w:r>
          </w:p>
        </w:tc>
        <w:tc>
          <w:tcPr>
            <w:tcW w:w="4786" w:type="dxa"/>
            <w:tcBorders>
              <w:top w:val="nil"/>
              <w:left w:val="nil"/>
              <w:bottom w:val="single" w:color="auto" w:sz="4" w:space="0"/>
              <w:right w:val="single" w:color="auto" w:sz="4" w:space="0"/>
            </w:tcBorders>
            <w:vAlign w:val="center"/>
          </w:tcPr>
          <w:p>
            <w:pPr>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减：可扣除的卖出信用衍生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衍生</w:t>
            </w:r>
            <w:r>
              <w:rPr>
                <w:rFonts w:hint="eastAsia" w:ascii="仿宋_GB2312" w:hAnsi="宋体" w:eastAsia="仿宋_GB2312" w:cs="宋体"/>
                <w:b/>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b/>
                <w:bCs/>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299006</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458000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证券融资交易的会计资产余额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28500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减：可以扣除的证券融资交易资产余额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证券融资交易的交易对手信用风险暴露</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211381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190559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代理证券融资交易形成的证券融资交易资产余额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211381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219059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14:textFill>
                  <w14:solidFill>
                    <w14:schemeClr w14:val="tx1"/>
                  </w14:solidFill>
                </w14:textFill>
              </w:rPr>
              <w:t>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109044761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107020283</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19</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减：因信用转换调整的表外项目余额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-78363943</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-72648446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20</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减：减值准备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-277813</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-274455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21</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调整后的表外项目余额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30403005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34097381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14:textFill>
                  <w14:solidFill>
                    <w14:schemeClr w14:val="tx1"/>
                  </w14:solidFill>
                </w14:textFill>
              </w:rPr>
              <w:t>一级资本</w:t>
            </w:r>
            <w:r>
              <w:rPr>
                <w:rFonts w:hint="eastAsia" w:ascii="仿宋_GB2312" w:hAnsi="宋体" w:eastAsia="仿宋_GB2312" w:cs="宋体"/>
                <w:color w:val="000000" w:themeColor="text1"/>
                <w:kern w:val="2"/>
                <w:sz w:val="24"/>
                <w:szCs w:val="24"/>
                <w:lang w:eastAsia="zh-CN"/>
                <w14:textFill>
                  <w14:solidFill>
                    <w14:schemeClr w14:val="tx1"/>
                  </w14:solidFill>
                </w14:textFill>
              </w:rPr>
              <w:t>净额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17055845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16972455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99"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调整后表内外资产余额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252623055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255228499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杠杆率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single" w:color="auto" w:sz="4" w:space="0"/>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4</w:t>
            </w:r>
            <w:r>
              <w:rPr>
                <w:rFonts w:ascii="仿宋_GB2312" w:hAnsi="宋体" w:eastAsia="仿宋_GB2312" w:cs="宋体"/>
                <w:color w:val="000000" w:themeColor="text1"/>
                <w:kern w:val="2"/>
                <w:sz w:val="24"/>
                <w:szCs w:val="24"/>
                <w14:textFill>
                  <w14:solidFill>
                    <w14:schemeClr w14:val="tx1"/>
                  </w14:solidFill>
                </w14:textFill>
              </w:rPr>
              <w:t>a</w:t>
            </w:r>
          </w:p>
        </w:tc>
        <w:tc>
          <w:tcPr>
            <w:tcW w:w="4786" w:type="dxa"/>
            <w:tcBorders>
              <w:top w:val="single" w:color="auto" w:sz="4" w:space="0"/>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杠杆率</w:t>
            </w:r>
            <w:r>
              <w:rPr>
                <w:rFonts w:ascii="仿宋_GB2312" w:hAnsi="宋体" w:eastAsia="仿宋_GB2312" w:cs="宋体"/>
                <w:color w:val="000000" w:themeColor="text1"/>
                <w:kern w:val="2"/>
                <w:sz w:val="24"/>
                <w:szCs w:val="24"/>
                <w:lang w:eastAsia="zh-CN"/>
                <w14:textFill>
                  <w14:solidFill>
                    <w14:schemeClr w14:val="tx1"/>
                  </w14:solidFill>
                </w14:textFill>
              </w:rPr>
              <w:t>a</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single" w:color="auto" w:sz="4" w:space="0"/>
              <w:left w:val="single" w:color="000000" w:sz="4" w:space="0"/>
              <w:bottom w:val="single" w:color="000000"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single" w:color="auto" w:sz="4" w:space="0"/>
              <w:left w:val="nil"/>
              <w:bottom w:val="single" w:color="000000"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最低杠杆率要求</w:t>
            </w:r>
          </w:p>
        </w:tc>
        <w:tc>
          <w:tcPr>
            <w:tcW w:w="1508" w:type="dxa"/>
            <w:tcBorders>
              <w:top w:val="single" w:color="auto" w:sz="4" w:space="0"/>
              <w:left w:val="nil"/>
              <w:bottom w:val="single" w:color="000000"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4.00</w:t>
            </w:r>
          </w:p>
        </w:tc>
        <w:tc>
          <w:tcPr>
            <w:tcW w:w="1509" w:type="dxa"/>
            <w:gridSpan w:val="2"/>
            <w:tcBorders>
              <w:top w:val="single" w:color="auto" w:sz="4" w:space="0"/>
              <w:left w:val="single" w:color="auto"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4.00</w:t>
            </w:r>
          </w:p>
        </w:tc>
      </w:tr>
    </w:tbl>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pPr>
      <w:r>
        <w:rPr>
          <w:rFonts w:hint="eastAsia" w:ascii="仿宋" w:hAnsi="仿宋" w:eastAsia="仿宋" w:cs="仿宋"/>
          <w:sz w:val="32"/>
          <w:szCs w:val="32"/>
          <w:lang w:val="en-US" w:eastAsia="zh-CN"/>
        </w:rPr>
        <w:br w:type="page"/>
      </w:r>
    </w:p>
    <w:p>
      <w:pPr>
        <w:snapToGrid w:val="0"/>
        <w:spacing w:line="480" w:lineRule="exact"/>
        <w:outlineLvl w:val="1"/>
        <w:rPr>
          <w:rFonts w:hint="eastAsia" w:ascii="楷体" w:hAnsi="楷体" w:eastAsia="楷体" w:cs="楷体"/>
          <w:color w:val="000000" w:themeColor="text1"/>
          <w:sz w:val="30"/>
          <w:szCs w:val="30"/>
          <w:lang w:val="en-US" w:eastAsia="zh-CN"/>
          <w14:textFill>
            <w14:solidFill>
              <w14:schemeClr w14:val="tx1"/>
            </w14:solidFill>
          </w14:textFill>
        </w:rPr>
      </w:pPr>
      <w:r>
        <w:rPr>
          <w:rFonts w:hint="eastAsia" w:ascii="楷体" w:hAnsi="楷体" w:eastAsia="楷体" w:cs="楷体"/>
          <w:color w:val="000000" w:themeColor="text1"/>
          <w:sz w:val="30"/>
          <w:szCs w:val="30"/>
          <w:lang w:val="en-US" w:eastAsia="zh-CN"/>
          <w14:textFill>
            <w14:solidFill>
              <w14:schemeClr w14:val="tx1"/>
            </w14:solidFill>
          </w14:textFill>
        </w:rPr>
        <w:t>附表七：资本工具主要特征</w:t>
      </w:r>
    </w:p>
    <w:p>
      <w:pPr>
        <w:snapToGrid w:val="0"/>
        <w:spacing w:line="480" w:lineRule="exact"/>
        <w:jc w:val="right"/>
        <w:outlineLvl w:val="1"/>
        <w:rPr>
          <w:rFonts w:hint="eastAsia" w:ascii="楷体" w:hAnsi="楷体" w:eastAsia="楷体" w:cs="楷体"/>
          <w:color w:val="000000" w:themeColor="text1"/>
          <w:sz w:val="30"/>
          <w:szCs w:val="30"/>
          <w:lang w:val="en-US" w:eastAsia="zh-CN"/>
          <w14:textFill>
            <w14:solidFill>
              <w14:schemeClr w14:val="tx1"/>
            </w14:solidFill>
          </w14:textFill>
        </w:rPr>
      </w:pPr>
      <w:r>
        <w:rPr>
          <w:rFonts w:hint="eastAsia" w:ascii="楷体" w:hAnsi="楷体" w:eastAsia="楷体" w:cs="楷体"/>
          <w:color w:val="000000" w:themeColor="text1"/>
          <w:sz w:val="30"/>
          <w:szCs w:val="30"/>
          <w:lang w:val="en-US" w:eastAsia="zh-CN"/>
          <w14:textFill>
            <w14:solidFill>
              <w14:schemeClr w14:val="tx1"/>
            </w14:solidFill>
          </w14:textFill>
        </w:rPr>
        <w:t>单位：千元</w:t>
      </w:r>
    </w:p>
    <w:tbl>
      <w:tblPr>
        <w:tblStyle w:val="2"/>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22"/>
        <w:gridCol w:w="1726"/>
        <w:gridCol w:w="3913"/>
        <w:gridCol w:w="3913"/>
        <w:gridCol w:w="3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000000"/>
                <w:sz w:val="20"/>
                <w:szCs w:val="20"/>
                <w:u w:val="none"/>
                <w:lang w:eastAsia="zh-CN"/>
              </w:rPr>
            </w:pPr>
            <w:r>
              <w:rPr>
                <w:rFonts w:hint="eastAsia" w:ascii="仿宋_GB2312" w:hAnsi="宋体" w:eastAsia="仿宋_GB2312" w:cs="仿宋_GB2312"/>
                <w:i w:val="0"/>
                <w:color w:val="000000"/>
                <w:sz w:val="20"/>
                <w:szCs w:val="20"/>
                <w:u w:val="none"/>
                <w:lang w:eastAsia="zh-CN"/>
              </w:rPr>
              <w:t>序号</w:t>
            </w:r>
          </w:p>
        </w:tc>
        <w:tc>
          <w:tcPr>
            <w:tcW w:w="1726" w:type="dxa"/>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000000"/>
                <w:sz w:val="20"/>
                <w:szCs w:val="20"/>
                <w:u w:val="none"/>
                <w:lang w:eastAsia="zh-CN"/>
              </w:rPr>
            </w:pPr>
            <w:r>
              <w:rPr>
                <w:rFonts w:hint="eastAsia" w:ascii="仿宋_GB2312" w:hAnsi="宋体" w:eastAsia="仿宋_GB2312" w:cs="仿宋_GB2312"/>
                <w:i w:val="0"/>
                <w:color w:val="000000"/>
                <w:sz w:val="20"/>
                <w:szCs w:val="20"/>
                <w:u w:val="none"/>
                <w:lang w:eastAsia="zh-CN"/>
              </w:rPr>
              <w:t>资本工具主要特征</w:t>
            </w:r>
          </w:p>
        </w:tc>
        <w:tc>
          <w:tcPr>
            <w:tcW w:w="39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普通股</w:t>
            </w:r>
          </w:p>
        </w:tc>
        <w:tc>
          <w:tcPr>
            <w:tcW w:w="39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二级资本债券</w:t>
            </w:r>
          </w:p>
        </w:tc>
        <w:tc>
          <w:tcPr>
            <w:tcW w:w="3914" w:type="dxa"/>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发行机构</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苏农银行</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苏农银行</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苏农银行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标识码</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default"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603323</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CND1000471J5</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CND10007Z6W1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适用法律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中国大陆</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中国大陆</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中国大陆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4</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资本层级</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核心一级资本</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5</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ind w:firstLineChars="20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其中：适用法人/集团层面</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法人和集团</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法人和集团</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法人和集团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6</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工具类型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核心一级资本工具</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二级资本债工具</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二级资本债工具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7</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可计入监管资本的数额（最近一期报告日数额，单位：百万元人民币）</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687</w:t>
            </w:r>
            <w:r>
              <w:rPr>
                <w:rFonts w:hint="eastAsia" w:ascii="仿宋_GB2312" w:hAnsi="宋体" w:eastAsia="仿宋_GB2312" w:cs="仿宋_GB2312"/>
                <w:i w:val="0"/>
                <w:color w:val="000000"/>
                <w:kern w:val="0"/>
                <w:sz w:val="20"/>
                <w:szCs w:val="20"/>
                <w:u w:val="none"/>
                <w:lang w:val="en-US" w:eastAsia="zh-CN" w:bidi="ar"/>
              </w:rPr>
              <w:t>.</w:t>
            </w:r>
            <w:r>
              <w:rPr>
                <w:rFonts w:hint="default" w:ascii="仿宋_GB2312" w:hAnsi="宋体" w:eastAsia="仿宋_GB2312" w:cs="仿宋_GB2312"/>
                <w:i w:val="0"/>
                <w:color w:val="000000"/>
                <w:kern w:val="0"/>
                <w:sz w:val="20"/>
                <w:szCs w:val="20"/>
                <w:u w:val="none"/>
                <w:lang w:val="en-US" w:eastAsia="zh-CN" w:bidi="ar"/>
              </w:rPr>
              <w:t>7</w:t>
            </w:r>
            <w:r>
              <w:rPr>
                <w:rFonts w:hint="eastAsia" w:ascii="仿宋_GB2312" w:hAnsi="宋体" w:eastAsia="仿宋_GB2312" w:cs="仿宋_GB2312"/>
                <w:i w:val="0"/>
                <w:color w:val="000000"/>
                <w:kern w:val="0"/>
                <w:sz w:val="20"/>
                <w:szCs w:val="20"/>
                <w:u w:val="none"/>
                <w:lang w:val="en-US" w:eastAsia="zh-CN" w:bidi="ar"/>
              </w:rPr>
              <w:t>8</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504.41</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1002.74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8</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工具面值（单位：百万元人民币）</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111.50</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500</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9</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会计处理</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权益</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以摊余成本计量的负债</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以摊余成本计量的负债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10</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初始发行日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2016年11月29日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2021年4月15日</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2024年5月22日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是否存在固定期限</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其中：原始到期日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无到期日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2031年4月19日</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2034年5月24日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发行人赎回（需经监管认可）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14</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其中：赎回日期及额度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赎回日期：2026年4月19日，赎回额度：5亿元</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赎回日期：2029/5/24，赎回额度：10亿元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其中：后续赎回日期（如有）</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2031年4月19日</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2034年5月24日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000000"/>
                <w:sz w:val="20"/>
                <w:szCs w:val="20"/>
                <w:u w:val="none"/>
              </w:rPr>
            </w:pP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分红或派息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16</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其中：固定或浮动分红/派息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浮动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固定</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固定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17</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其中：票面利率及相关指标，如采用的基准利率等</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4.80%</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其中：是否存在股息制动机制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19</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其中：是否可自主取消分红或派息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完全自由裁量</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无自由裁量权</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无自由裁量权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其中：是否有赎回激励机制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其中：累计或非累计</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非累积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非累积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非累积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是否可转股</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其中：若可转股，则说明转股触发条件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24</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其中：若可转股，则说明全部转股还是部分转股</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25</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其中：若可转股，则说明转股价格确定方式</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26</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其中：若可转股，则说明是否为强制性转换</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27</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其中：若可转股，则说明转换后工具类型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28</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其中：若可转股，则说明转换后工具的发行人</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29</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是否减记</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30</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其中：若减记，则说明减记触发条件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当无法生存触发事件发生时，发行人有权在无需获得债券持有人同意的情况下，在其他一级资本工具全部减记或转股后，将本期债券的本金进行部分或全部减记。本期债券按照存续票面金额在设有同一触发事件的所有二级资本工具存续票面总金额中所占的比例进行减记。</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当无法生存触发事件发生时，发行人有权在无需获得债券持有人同意的情况下，在其他一级资本工具全部减记或转股后，将本期债券的本金进行部分或全部减记。本期债券按照存续票面金额在设有同一触发事件的所有二级资本工具存续票面总金额中所占的比例进行减记。无法生存触发事件指以下两者中的较早者：（1）国家金融监督管理局认定若不进行减记，发行人将无法生存；（2）相关部门认定若不进行公共部门注资或提供同等效力的支持，发行人将无法生存。减记部分不可恢复，减记部分尚未支付的累积应付利息亦将不再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其中：若减记，则说明是部分减记还是全部减记</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全部或部分减记</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全部或部分减记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其中：若减记，则说明是永久减记还是临时减记</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永久减计</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永久减计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其中：若临时减记，则说明账面价值恢复机制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33a</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次级类型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34</w:t>
            </w:r>
          </w:p>
        </w:tc>
        <w:tc>
          <w:tcPr>
            <w:tcW w:w="1726" w:type="dxa"/>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清算时清偿顺序（说明清偿顺序更高级的工具类型）</w:t>
            </w:r>
          </w:p>
        </w:tc>
        <w:tc>
          <w:tcPr>
            <w:tcW w:w="3913" w:type="dxa"/>
            <w:tcBorders>
              <w:top w:val="nil"/>
              <w:left w:val="single" w:color="000000" w:sz="8"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本期债券本金的清偿顺序和利息支付顺序在存款人和一般债权人之后，股权资本、其他一级资本工具和混合资本债券之前;本期债券与发行人已发行的与本期债券偿还顺序相同的其他次级债务处于同一清偿顺序,与未来可能发行的与本期债券偿还顺序相同的其他二级资本工具同顺位受偿。除非发行人结业、倒闭或清算，投资者不能要求发行人加速偿还本期债券的本金。本期债券的派息将遵守监管当局现时有效的监管规定。除发生触发事件外，本期债券的本金和利息不可递延支付或取消支付。</w:t>
            </w:r>
          </w:p>
        </w:tc>
        <w:tc>
          <w:tcPr>
            <w:tcW w:w="3914" w:type="dxa"/>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本次债券本金的清偿顺序和利息支付顺序均在存款人和一般债权人之后，股权资本、其他一级资本工具和混合资本债券之前;本次债券与发行人已发行的与本次债券偿还顺序相同的其他次级债务处于同一清偿顺序，与未来可能发行的与本次债券偿还顺序相同的其他二级资本工具同顺位受偿。除非发行人进入破产清算程序，投资者不能要求发行人加速偿还本次债券的本金和利息。</w:t>
            </w:r>
          </w:p>
        </w:tc>
      </w:tr>
    </w:tbl>
    <w:p>
      <w:pPr>
        <w:rPr>
          <w:rFonts w:hint="eastAsia" w:ascii="仿宋" w:hAnsi="仿宋" w:eastAsia="仿宋" w:cs="仿宋"/>
          <w:sz w:val="20"/>
          <w:szCs w:val="20"/>
          <w:lang w:val="en-US" w:eastAsia="zh-CN"/>
        </w:rPr>
      </w:pPr>
    </w:p>
    <w:p>
      <w:pPr>
        <w:rPr>
          <w:rFonts w:hint="eastAsia" w:ascii="仿宋" w:hAnsi="仿宋" w:eastAsia="仿宋" w:cs="仿宋"/>
          <w:sz w:val="32"/>
          <w:szCs w:val="32"/>
          <w:lang w:val="en-US" w:eastAsia="zh-CN"/>
        </w:rPr>
      </w:pPr>
    </w:p>
    <w:sectPr>
      <w:pgSz w:w="16838" w:h="11906" w:orient="landscape"/>
      <w:pgMar w:top="1800" w:right="1440" w:bottom="1800" w:left="144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59D0"/>
    <w:rsid w:val="001A0A26"/>
    <w:rsid w:val="00377B0C"/>
    <w:rsid w:val="005C2E6F"/>
    <w:rsid w:val="009D130F"/>
    <w:rsid w:val="00B1399E"/>
    <w:rsid w:val="00D15BAE"/>
    <w:rsid w:val="00DB4472"/>
    <w:rsid w:val="00E41CD7"/>
    <w:rsid w:val="00E96815"/>
    <w:rsid w:val="00F8338D"/>
    <w:rsid w:val="011038F8"/>
    <w:rsid w:val="011C7179"/>
    <w:rsid w:val="01427CC7"/>
    <w:rsid w:val="015109E3"/>
    <w:rsid w:val="01735DE0"/>
    <w:rsid w:val="01B9069D"/>
    <w:rsid w:val="01D0609A"/>
    <w:rsid w:val="01FC28DC"/>
    <w:rsid w:val="021141F5"/>
    <w:rsid w:val="021814FC"/>
    <w:rsid w:val="024E186D"/>
    <w:rsid w:val="026A0715"/>
    <w:rsid w:val="02A10CF5"/>
    <w:rsid w:val="02AE6BA6"/>
    <w:rsid w:val="02B7475C"/>
    <w:rsid w:val="02BC2A04"/>
    <w:rsid w:val="02D97F11"/>
    <w:rsid w:val="02DC0D0F"/>
    <w:rsid w:val="03150554"/>
    <w:rsid w:val="031627B0"/>
    <w:rsid w:val="0330780D"/>
    <w:rsid w:val="03316A72"/>
    <w:rsid w:val="03392A7D"/>
    <w:rsid w:val="03845BA2"/>
    <w:rsid w:val="038E5EF8"/>
    <w:rsid w:val="03975EC2"/>
    <w:rsid w:val="03E61283"/>
    <w:rsid w:val="0445759A"/>
    <w:rsid w:val="045E3B87"/>
    <w:rsid w:val="046A4637"/>
    <w:rsid w:val="0478741C"/>
    <w:rsid w:val="04B806FE"/>
    <w:rsid w:val="04CF7249"/>
    <w:rsid w:val="04DA66DB"/>
    <w:rsid w:val="04DD79BB"/>
    <w:rsid w:val="04FF7101"/>
    <w:rsid w:val="052F077E"/>
    <w:rsid w:val="053E4A13"/>
    <w:rsid w:val="05452CF2"/>
    <w:rsid w:val="05731022"/>
    <w:rsid w:val="05796E4A"/>
    <w:rsid w:val="05962815"/>
    <w:rsid w:val="05AA002A"/>
    <w:rsid w:val="062A6882"/>
    <w:rsid w:val="064110E1"/>
    <w:rsid w:val="06682C18"/>
    <w:rsid w:val="067730B9"/>
    <w:rsid w:val="06A502E6"/>
    <w:rsid w:val="06D62019"/>
    <w:rsid w:val="06E45A7E"/>
    <w:rsid w:val="073A41F9"/>
    <w:rsid w:val="07405E9A"/>
    <w:rsid w:val="0753066A"/>
    <w:rsid w:val="07604546"/>
    <w:rsid w:val="07864C9A"/>
    <w:rsid w:val="07866F6F"/>
    <w:rsid w:val="07B94616"/>
    <w:rsid w:val="07C87954"/>
    <w:rsid w:val="07DD18F8"/>
    <w:rsid w:val="07F13F25"/>
    <w:rsid w:val="07F92ED2"/>
    <w:rsid w:val="08562CD1"/>
    <w:rsid w:val="08634A8B"/>
    <w:rsid w:val="08654B2E"/>
    <w:rsid w:val="088A1A88"/>
    <w:rsid w:val="08B80EC6"/>
    <w:rsid w:val="08DA3EEE"/>
    <w:rsid w:val="08EB5EE9"/>
    <w:rsid w:val="09032C26"/>
    <w:rsid w:val="091D2364"/>
    <w:rsid w:val="092C3541"/>
    <w:rsid w:val="09891043"/>
    <w:rsid w:val="09A6400F"/>
    <w:rsid w:val="0A621877"/>
    <w:rsid w:val="0A89318C"/>
    <w:rsid w:val="0AA60DD3"/>
    <w:rsid w:val="0AB1578A"/>
    <w:rsid w:val="0AD25F62"/>
    <w:rsid w:val="0B25317E"/>
    <w:rsid w:val="0B4476F8"/>
    <w:rsid w:val="0B4D5266"/>
    <w:rsid w:val="0B55788B"/>
    <w:rsid w:val="0B88352B"/>
    <w:rsid w:val="0BB701D8"/>
    <w:rsid w:val="0BC07D0D"/>
    <w:rsid w:val="0BD544C6"/>
    <w:rsid w:val="0C472A5F"/>
    <w:rsid w:val="0C5767F9"/>
    <w:rsid w:val="0C795951"/>
    <w:rsid w:val="0C845A60"/>
    <w:rsid w:val="0CD976FA"/>
    <w:rsid w:val="0CED7550"/>
    <w:rsid w:val="0D156061"/>
    <w:rsid w:val="0D176D42"/>
    <w:rsid w:val="0D266236"/>
    <w:rsid w:val="0D5020C7"/>
    <w:rsid w:val="0D58296C"/>
    <w:rsid w:val="0D682710"/>
    <w:rsid w:val="0D7E6FC2"/>
    <w:rsid w:val="0DB73867"/>
    <w:rsid w:val="0DD039E4"/>
    <w:rsid w:val="0DEC3B33"/>
    <w:rsid w:val="0DEF5E0C"/>
    <w:rsid w:val="0DFD038C"/>
    <w:rsid w:val="0E281B86"/>
    <w:rsid w:val="0E9E0022"/>
    <w:rsid w:val="0EA2552D"/>
    <w:rsid w:val="0EB4533E"/>
    <w:rsid w:val="0EC82D9F"/>
    <w:rsid w:val="0EE02E2E"/>
    <w:rsid w:val="0F062C4F"/>
    <w:rsid w:val="0F163CCB"/>
    <w:rsid w:val="0F6E59E4"/>
    <w:rsid w:val="0F717E84"/>
    <w:rsid w:val="0FA164FD"/>
    <w:rsid w:val="0FAC1B5B"/>
    <w:rsid w:val="0FCA1A49"/>
    <w:rsid w:val="10213AAE"/>
    <w:rsid w:val="103457A0"/>
    <w:rsid w:val="104D0D72"/>
    <w:rsid w:val="10BD3FC2"/>
    <w:rsid w:val="11680030"/>
    <w:rsid w:val="11742DE6"/>
    <w:rsid w:val="11B02BC1"/>
    <w:rsid w:val="11DD0903"/>
    <w:rsid w:val="120F1B51"/>
    <w:rsid w:val="12141FCE"/>
    <w:rsid w:val="12264518"/>
    <w:rsid w:val="123038F6"/>
    <w:rsid w:val="12760979"/>
    <w:rsid w:val="12BB14F1"/>
    <w:rsid w:val="12C16F92"/>
    <w:rsid w:val="12C47C85"/>
    <w:rsid w:val="12D1709D"/>
    <w:rsid w:val="130A7B3B"/>
    <w:rsid w:val="135A295C"/>
    <w:rsid w:val="13650466"/>
    <w:rsid w:val="13752225"/>
    <w:rsid w:val="137C5799"/>
    <w:rsid w:val="13D977A5"/>
    <w:rsid w:val="13F24F24"/>
    <w:rsid w:val="140E4545"/>
    <w:rsid w:val="1410151A"/>
    <w:rsid w:val="14517C55"/>
    <w:rsid w:val="14524747"/>
    <w:rsid w:val="14682706"/>
    <w:rsid w:val="14845411"/>
    <w:rsid w:val="148677DE"/>
    <w:rsid w:val="1523518B"/>
    <w:rsid w:val="152B2DE4"/>
    <w:rsid w:val="1596408B"/>
    <w:rsid w:val="159B7E3F"/>
    <w:rsid w:val="15F03F96"/>
    <w:rsid w:val="15FE58DB"/>
    <w:rsid w:val="162F7E19"/>
    <w:rsid w:val="16345FBB"/>
    <w:rsid w:val="163A5BB3"/>
    <w:rsid w:val="163F6AEF"/>
    <w:rsid w:val="166B23D4"/>
    <w:rsid w:val="16900903"/>
    <w:rsid w:val="16BA2DCF"/>
    <w:rsid w:val="16D800BD"/>
    <w:rsid w:val="16E750EF"/>
    <w:rsid w:val="16EA6E76"/>
    <w:rsid w:val="17217A35"/>
    <w:rsid w:val="17264F81"/>
    <w:rsid w:val="176C2298"/>
    <w:rsid w:val="17800655"/>
    <w:rsid w:val="180674BE"/>
    <w:rsid w:val="18224761"/>
    <w:rsid w:val="184B2D5A"/>
    <w:rsid w:val="184B3C05"/>
    <w:rsid w:val="187F3060"/>
    <w:rsid w:val="18825D60"/>
    <w:rsid w:val="18951B93"/>
    <w:rsid w:val="18A75179"/>
    <w:rsid w:val="18CC455F"/>
    <w:rsid w:val="18E01A29"/>
    <w:rsid w:val="194D7C68"/>
    <w:rsid w:val="1974688B"/>
    <w:rsid w:val="1989643E"/>
    <w:rsid w:val="199E7C00"/>
    <w:rsid w:val="19BC5791"/>
    <w:rsid w:val="19CA1AEE"/>
    <w:rsid w:val="1A2E0858"/>
    <w:rsid w:val="1A7C0F99"/>
    <w:rsid w:val="1A9974D2"/>
    <w:rsid w:val="1B5F5F4E"/>
    <w:rsid w:val="1B606829"/>
    <w:rsid w:val="1BB521EA"/>
    <w:rsid w:val="1BC73923"/>
    <w:rsid w:val="1BC9083F"/>
    <w:rsid w:val="1BCC048A"/>
    <w:rsid w:val="1BDB3548"/>
    <w:rsid w:val="1BDF3C66"/>
    <w:rsid w:val="1BE51C21"/>
    <w:rsid w:val="1BE522F9"/>
    <w:rsid w:val="1BF00CBC"/>
    <w:rsid w:val="1BF40D44"/>
    <w:rsid w:val="1C3A3CF5"/>
    <w:rsid w:val="1C460D00"/>
    <w:rsid w:val="1CF32A05"/>
    <w:rsid w:val="1D414265"/>
    <w:rsid w:val="1D8914B0"/>
    <w:rsid w:val="1DA61979"/>
    <w:rsid w:val="1DBB14C7"/>
    <w:rsid w:val="1DBC2476"/>
    <w:rsid w:val="1E2C1899"/>
    <w:rsid w:val="1E9A6CAF"/>
    <w:rsid w:val="1ED25622"/>
    <w:rsid w:val="1EDF2538"/>
    <w:rsid w:val="1EE60E3E"/>
    <w:rsid w:val="1F1171D0"/>
    <w:rsid w:val="1F345092"/>
    <w:rsid w:val="1F5E32B7"/>
    <w:rsid w:val="1FBE3BC5"/>
    <w:rsid w:val="1FCD177C"/>
    <w:rsid w:val="1FDD7C3F"/>
    <w:rsid w:val="1FFC5A58"/>
    <w:rsid w:val="20016B0E"/>
    <w:rsid w:val="202150F5"/>
    <w:rsid w:val="20324EC0"/>
    <w:rsid w:val="205A0C09"/>
    <w:rsid w:val="20855DC1"/>
    <w:rsid w:val="209B6552"/>
    <w:rsid w:val="20D62016"/>
    <w:rsid w:val="21051D60"/>
    <w:rsid w:val="213C145A"/>
    <w:rsid w:val="21715E87"/>
    <w:rsid w:val="21A0066F"/>
    <w:rsid w:val="21AE6229"/>
    <w:rsid w:val="21BD7D82"/>
    <w:rsid w:val="21DB262F"/>
    <w:rsid w:val="220A4D00"/>
    <w:rsid w:val="22321896"/>
    <w:rsid w:val="2254225A"/>
    <w:rsid w:val="22551F53"/>
    <w:rsid w:val="22DC4722"/>
    <w:rsid w:val="22E66B79"/>
    <w:rsid w:val="22EE19BF"/>
    <w:rsid w:val="22F80010"/>
    <w:rsid w:val="22FD4EDB"/>
    <w:rsid w:val="23042127"/>
    <w:rsid w:val="23121C93"/>
    <w:rsid w:val="231C23C5"/>
    <w:rsid w:val="233D2A3D"/>
    <w:rsid w:val="234C5D50"/>
    <w:rsid w:val="237810A4"/>
    <w:rsid w:val="23D54B35"/>
    <w:rsid w:val="23F1265F"/>
    <w:rsid w:val="23F92327"/>
    <w:rsid w:val="24090513"/>
    <w:rsid w:val="24677266"/>
    <w:rsid w:val="247A2B07"/>
    <w:rsid w:val="2484490B"/>
    <w:rsid w:val="248F0C19"/>
    <w:rsid w:val="24903568"/>
    <w:rsid w:val="24D83F71"/>
    <w:rsid w:val="250260E1"/>
    <w:rsid w:val="250C744B"/>
    <w:rsid w:val="251040F2"/>
    <w:rsid w:val="25443643"/>
    <w:rsid w:val="254C6F35"/>
    <w:rsid w:val="25641D4C"/>
    <w:rsid w:val="257C09F4"/>
    <w:rsid w:val="25823F9C"/>
    <w:rsid w:val="259B2076"/>
    <w:rsid w:val="25A93061"/>
    <w:rsid w:val="25AA720A"/>
    <w:rsid w:val="25DD70B8"/>
    <w:rsid w:val="263B2215"/>
    <w:rsid w:val="2664325F"/>
    <w:rsid w:val="267B23FA"/>
    <w:rsid w:val="26964651"/>
    <w:rsid w:val="269C2181"/>
    <w:rsid w:val="26B90446"/>
    <w:rsid w:val="26CF08F3"/>
    <w:rsid w:val="26E02CBB"/>
    <w:rsid w:val="26EB0E9B"/>
    <w:rsid w:val="26F83645"/>
    <w:rsid w:val="27127A10"/>
    <w:rsid w:val="27385196"/>
    <w:rsid w:val="27923F27"/>
    <w:rsid w:val="27A039C1"/>
    <w:rsid w:val="27C21558"/>
    <w:rsid w:val="28325A75"/>
    <w:rsid w:val="28537F6C"/>
    <w:rsid w:val="2859187D"/>
    <w:rsid w:val="28756BD9"/>
    <w:rsid w:val="287D56F2"/>
    <w:rsid w:val="289628B1"/>
    <w:rsid w:val="28A5345C"/>
    <w:rsid w:val="28A60EB9"/>
    <w:rsid w:val="28A733E9"/>
    <w:rsid w:val="28BF1DE9"/>
    <w:rsid w:val="28E2554A"/>
    <w:rsid w:val="28E85467"/>
    <w:rsid w:val="29334E61"/>
    <w:rsid w:val="2990347D"/>
    <w:rsid w:val="29DB5260"/>
    <w:rsid w:val="29EB3CFB"/>
    <w:rsid w:val="29F625DE"/>
    <w:rsid w:val="29F87D49"/>
    <w:rsid w:val="2A12300C"/>
    <w:rsid w:val="2A137463"/>
    <w:rsid w:val="2A323226"/>
    <w:rsid w:val="2A3A23A4"/>
    <w:rsid w:val="2A7553D7"/>
    <w:rsid w:val="2A834053"/>
    <w:rsid w:val="2AB010D2"/>
    <w:rsid w:val="2ACF7CA5"/>
    <w:rsid w:val="2AD638A2"/>
    <w:rsid w:val="2AD907CA"/>
    <w:rsid w:val="2ADF0221"/>
    <w:rsid w:val="2B5B4CBB"/>
    <w:rsid w:val="2B7F22DD"/>
    <w:rsid w:val="2B901F00"/>
    <w:rsid w:val="2B9B5082"/>
    <w:rsid w:val="2BA47074"/>
    <w:rsid w:val="2BC54434"/>
    <w:rsid w:val="2BE81C72"/>
    <w:rsid w:val="2BEF19B7"/>
    <w:rsid w:val="2C8753D2"/>
    <w:rsid w:val="2CC06388"/>
    <w:rsid w:val="2CEB2A06"/>
    <w:rsid w:val="2D26017A"/>
    <w:rsid w:val="2D8A5881"/>
    <w:rsid w:val="2DAD54CC"/>
    <w:rsid w:val="2DF16526"/>
    <w:rsid w:val="2E123E14"/>
    <w:rsid w:val="2E1E1F95"/>
    <w:rsid w:val="2E313987"/>
    <w:rsid w:val="2E5E1174"/>
    <w:rsid w:val="2E622D69"/>
    <w:rsid w:val="2EE321BB"/>
    <w:rsid w:val="2F0F397B"/>
    <w:rsid w:val="2F343A68"/>
    <w:rsid w:val="2F4710B7"/>
    <w:rsid w:val="2F5D1717"/>
    <w:rsid w:val="2F6F425C"/>
    <w:rsid w:val="2F741BA7"/>
    <w:rsid w:val="2FC41AEE"/>
    <w:rsid w:val="2FFD7388"/>
    <w:rsid w:val="30515E6F"/>
    <w:rsid w:val="306329F2"/>
    <w:rsid w:val="308D569A"/>
    <w:rsid w:val="30952618"/>
    <w:rsid w:val="309D0A59"/>
    <w:rsid w:val="30A07E66"/>
    <w:rsid w:val="30B1153D"/>
    <w:rsid w:val="30DE7292"/>
    <w:rsid w:val="30EB7DC5"/>
    <w:rsid w:val="310B4AE4"/>
    <w:rsid w:val="311A5486"/>
    <w:rsid w:val="311F172C"/>
    <w:rsid w:val="31466AC2"/>
    <w:rsid w:val="3149398D"/>
    <w:rsid w:val="314A3EFE"/>
    <w:rsid w:val="31746453"/>
    <w:rsid w:val="32160E40"/>
    <w:rsid w:val="32583EFC"/>
    <w:rsid w:val="327269D8"/>
    <w:rsid w:val="32BD7376"/>
    <w:rsid w:val="32CD515B"/>
    <w:rsid w:val="34263522"/>
    <w:rsid w:val="34273808"/>
    <w:rsid w:val="34575E2E"/>
    <w:rsid w:val="345B6692"/>
    <w:rsid w:val="346022EB"/>
    <w:rsid w:val="3460758C"/>
    <w:rsid w:val="34670FA5"/>
    <w:rsid w:val="347D731D"/>
    <w:rsid w:val="347F12C5"/>
    <w:rsid w:val="34916699"/>
    <w:rsid w:val="34CD22C9"/>
    <w:rsid w:val="350B60C9"/>
    <w:rsid w:val="35165CA4"/>
    <w:rsid w:val="351A62D2"/>
    <w:rsid w:val="3522489D"/>
    <w:rsid w:val="359D1342"/>
    <w:rsid w:val="359F4AAF"/>
    <w:rsid w:val="35F331E3"/>
    <w:rsid w:val="35F76ED0"/>
    <w:rsid w:val="360232B7"/>
    <w:rsid w:val="360C4B24"/>
    <w:rsid w:val="36206EC3"/>
    <w:rsid w:val="3636007C"/>
    <w:rsid w:val="368F0107"/>
    <w:rsid w:val="36935BF9"/>
    <w:rsid w:val="369E6D5B"/>
    <w:rsid w:val="36E7774E"/>
    <w:rsid w:val="3780330B"/>
    <w:rsid w:val="379B4657"/>
    <w:rsid w:val="37A03F56"/>
    <w:rsid w:val="37AD42D8"/>
    <w:rsid w:val="37BA03BD"/>
    <w:rsid w:val="37C07427"/>
    <w:rsid w:val="37DB4F2C"/>
    <w:rsid w:val="37EA7D59"/>
    <w:rsid w:val="38391FF1"/>
    <w:rsid w:val="384A7E5E"/>
    <w:rsid w:val="387A1644"/>
    <w:rsid w:val="38854FE2"/>
    <w:rsid w:val="38E065F4"/>
    <w:rsid w:val="38E37300"/>
    <w:rsid w:val="38ED1DBD"/>
    <w:rsid w:val="39397F3D"/>
    <w:rsid w:val="394149D2"/>
    <w:rsid w:val="39B735CA"/>
    <w:rsid w:val="39BD5F92"/>
    <w:rsid w:val="39DF4CFB"/>
    <w:rsid w:val="39F233D2"/>
    <w:rsid w:val="3A3F2433"/>
    <w:rsid w:val="3A5357E7"/>
    <w:rsid w:val="3A5A47E3"/>
    <w:rsid w:val="3A8335EE"/>
    <w:rsid w:val="3A927F06"/>
    <w:rsid w:val="3AB517EE"/>
    <w:rsid w:val="3AE14BDA"/>
    <w:rsid w:val="3AE71A5D"/>
    <w:rsid w:val="3B7C3F0F"/>
    <w:rsid w:val="3B9071FB"/>
    <w:rsid w:val="3BB657BA"/>
    <w:rsid w:val="3BC44A6C"/>
    <w:rsid w:val="3BCB5DBA"/>
    <w:rsid w:val="3BD65806"/>
    <w:rsid w:val="3C065B84"/>
    <w:rsid w:val="3C2A5AF2"/>
    <w:rsid w:val="3C3134E1"/>
    <w:rsid w:val="3C5C6504"/>
    <w:rsid w:val="3C63666F"/>
    <w:rsid w:val="3C994BA1"/>
    <w:rsid w:val="3CCC1D3C"/>
    <w:rsid w:val="3CE55446"/>
    <w:rsid w:val="3D18298B"/>
    <w:rsid w:val="3D2340C0"/>
    <w:rsid w:val="3D5C342D"/>
    <w:rsid w:val="3D781680"/>
    <w:rsid w:val="3D805BB0"/>
    <w:rsid w:val="3DA45E8F"/>
    <w:rsid w:val="3DE06C23"/>
    <w:rsid w:val="3E1630F7"/>
    <w:rsid w:val="3E2208E8"/>
    <w:rsid w:val="3E3867ED"/>
    <w:rsid w:val="3E603239"/>
    <w:rsid w:val="3E654B44"/>
    <w:rsid w:val="3E6A57DE"/>
    <w:rsid w:val="3E772BB6"/>
    <w:rsid w:val="3E865D25"/>
    <w:rsid w:val="3E8C14E2"/>
    <w:rsid w:val="3EAD1F31"/>
    <w:rsid w:val="3ECD4E4C"/>
    <w:rsid w:val="3EE407FC"/>
    <w:rsid w:val="3EEC702C"/>
    <w:rsid w:val="3F0C51DE"/>
    <w:rsid w:val="3F215EDA"/>
    <w:rsid w:val="3F5744B1"/>
    <w:rsid w:val="3F580F52"/>
    <w:rsid w:val="3F602472"/>
    <w:rsid w:val="3F6B6E62"/>
    <w:rsid w:val="3FB105CC"/>
    <w:rsid w:val="405A1DFC"/>
    <w:rsid w:val="40605038"/>
    <w:rsid w:val="40816591"/>
    <w:rsid w:val="408F1476"/>
    <w:rsid w:val="40AD36D0"/>
    <w:rsid w:val="40B05294"/>
    <w:rsid w:val="40D65747"/>
    <w:rsid w:val="40E43C0B"/>
    <w:rsid w:val="410A1008"/>
    <w:rsid w:val="41283936"/>
    <w:rsid w:val="41331570"/>
    <w:rsid w:val="41410C92"/>
    <w:rsid w:val="4186175C"/>
    <w:rsid w:val="41C6714C"/>
    <w:rsid w:val="41F72857"/>
    <w:rsid w:val="42271A19"/>
    <w:rsid w:val="422E5869"/>
    <w:rsid w:val="42906AA9"/>
    <w:rsid w:val="42F3222D"/>
    <w:rsid w:val="43146A05"/>
    <w:rsid w:val="43477BCC"/>
    <w:rsid w:val="435C63D4"/>
    <w:rsid w:val="43670943"/>
    <w:rsid w:val="436D5D16"/>
    <w:rsid w:val="43712370"/>
    <w:rsid w:val="4373798E"/>
    <w:rsid w:val="437637F5"/>
    <w:rsid w:val="43A05024"/>
    <w:rsid w:val="43AF5475"/>
    <w:rsid w:val="43BA00F8"/>
    <w:rsid w:val="43BC0EEC"/>
    <w:rsid w:val="43D1456E"/>
    <w:rsid w:val="444830EA"/>
    <w:rsid w:val="44534E68"/>
    <w:rsid w:val="44545027"/>
    <w:rsid w:val="445C4466"/>
    <w:rsid w:val="44771D5C"/>
    <w:rsid w:val="449501E5"/>
    <w:rsid w:val="451360CE"/>
    <w:rsid w:val="45293884"/>
    <w:rsid w:val="45487EE8"/>
    <w:rsid w:val="4573577B"/>
    <w:rsid w:val="45A63884"/>
    <w:rsid w:val="45BB6E89"/>
    <w:rsid w:val="45E20756"/>
    <w:rsid w:val="45E967AE"/>
    <w:rsid w:val="45FF524C"/>
    <w:rsid w:val="46217D80"/>
    <w:rsid w:val="465B680D"/>
    <w:rsid w:val="466A0C41"/>
    <w:rsid w:val="466D3524"/>
    <w:rsid w:val="467B4D52"/>
    <w:rsid w:val="468774DA"/>
    <w:rsid w:val="46CA45FD"/>
    <w:rsid w:val="46DA23CB"/>
    <w:rsid w:val="46FA1799"/>
    <w:rsid w:val="47003AA7"/>
    <w:rsid w:val="470C5592"/>
    <w:rsid w:val="47167071"/>
    <w:rsid w:val="474F06BD"/>
    <w:rsid w:val="478543F8"/>
    <w:rsid w:val="478B2199"/>
    <w:rsid w:val="47A958EE"/>
    <w:rsid w:val="48295354"/>
    <w:rsid w:val="482A7959"/>
    <w:rsid w:val="49047C9D"/>
    <w:rsid w:val="49113246"/>
    <w:rsid w:val="491264B7"/>
    <w:rsid w:val="49296DB0"/>
    <w:rsid w:val="496B4F4E"/>
    <w:rsid w:val="49831960"/>
    <w:rsid w:val="49CB54F0"/>
    <w:rsid w:val="49D162F4"/>
    <w:rsid w:val="49D171D0"/>
    <w:rsid w:val="49E14EE7"/>
    <w:rsid w:val="49F4534F"/>
    <w:rsid w:val="4AAB006F"/>
    <w:rsid w:val="4ABE2C8E"/>
    <w:rsid w:val="4ACE1B01"/>
    <w:rsid w:val="4AE55434"/>
    <w:rsid w:val="4AEA1082"/>
    <w:rsid w:val="4B0109A7"/>
    <w:rsid w:val="4B033713"/>
    <w:rsid w:val="4B4C7B77"/>
    <w:rsid w:val="4B8550AA"/>
    <w:rsid w:val="4BC22DAE"/>
    <w:rsid w:val="4BD1705A"/>
    <w:rsid w:val="4BED0959"/>
    <w:rsid w:val="4C220DDE"/>
    <w:rsid w:val="4C8E3EBE"/>
    <w:rsid w:val="4CD931A8"/>
    <w:rsid w:val="4CE9025F"/>
    <w:rsid w:val="4CEC21F1"/>
    <w:rsid w:val="4D041857"/>
    <w:rsid w:val="4D117558"/>
    <w:rsid w:val="4D236792"/>
    <w:rsid w:val="4D425506"/>
    <w:rsid w:val="4D437D4B"/>
    <w:rsid w:val="4D8D4E7A"/>
    <w:rsid w:val="4D912FAD"/>
    <w:rsid w:val="4DA1552F"/>
    <w:rsid w:val="4DA15CF3"/>
    <w:rsid w:val="4DD21DE7"/>
    <w:rsid w:val="4DE67E30"/>
    <w:rsid w:val="4DFB76B5"/>
    <w:rsid w:val="4E1520B2"/>
    <w:rsid w:val="4E38353D"/>
    <w:rsid w:val="4E684793"/>
    <w:rsid w:val="4E715CFE"/>
    <w:rsid w:val="4E8239BC"/>
    <w:rsid w:val="4E9B65D7"/>
    <w:rsid w:val="4EB330A7"/>
    <w:rsid w:val="4EB40D06"/>
    <w:rsid w:val="4EBC4B37"/>
    <w:rsid w:val="4EE147B1"/>
    <w:rsid w:val="4F2A561C"/>
    <w:rsid w:val="4F4632E7"/>
    <w:rsid w:val="4F6D29B8"/>
    <w:rsid w:val="4F96101C"/>
    <w:rsid w:val="4FC739FC"/>
    <w:rsid w:val="4FD754B7"/>
    <w:rsid w:val="4FDE42D2"/>
    <w:rsid w:val="50204055"/>
    <w:rsid w:val="50390F1E"/>
    <w:rsid w:val="506612C4"/>
    <w:rsid w:val="50972F6C"/>
    <w:rsid w:val="50B04C8F"/>
    <w:rsid w:val="50C22415"/>
    <w:rsid w:val="50DC3077"/>
    <w:rsid w:val="50DC41F5"/>
    <w:rsid w:val="50F502B0"/>
    <w:rsid w:val="5109570C"/>
    <w:rsid w:val="510D2DDC"/>
    <w:rsid w:val="51306FED"/>
    <w:rsid w:val="513A4F6F"/>
    <w:rsid w:val="514246E6"/>
    <w:rsid w:val="51565413"/>
    <w:rsid w:val="515E6299"/>
    <w:rsid w:val="51C55FA9"/>
    <w:rsid w:val="51DE5290"/>
    <w:rsid w:val="520A043D"/>
    <w:rsid w:val="52235201"/>
    <w:rsid w:val="52443591"/>
    <w:rsid w:val="526669B4"/>
    <w:rsid w:val="526A6D29"/>
    <w:rsid w:val="52892CE2"/>
    <w:rsid w:val="528D3B09"/>
    <w:rsid w:val="52B053BD"/>
    <w:rsid w:val="52C2722A"/>
    <w:rsid w:val="53297AE5"/>
    <w:rsid w:val="539D4FAD"/>
    <w:rsid w:val="53B7531C"/>
    <w:rsid w:val="53DB028B"/>
    <w:rsid w:val="543447AA"/>
    <w:rsid w:val="543D4D1C"/>
    <w:rsid w:val="551556FB"/>
    <w:rsid w:val="551A468B"/>
    <w:rsid w:val="55212294"/>
    <w:rsid w:val="5555589B"/>
    <w:rsid w:val="556805E1"/>
    <w:rsid w:val="556B24C0"/>
    <w:rsid w:val="556B3318"/>
    <w:rsid w:val="55A857A7"/>
    <w:rsid w:val="56590FAA"/>
    <w:rsid w:val="567E4BE9"/>
    <w:rsid w:val="56907E9A"/>
    <w:rsid w:val="56F3559A"/>
    <w:rsid w:val="56F80400"/>
    <w:rsid w:val="571E4321"/>
    <w:rsid w:val="57336284"/>
    <w:rsid w:val="57351A11"/>
    <w:rsid w:val="57402A64"/>
    <w:rsid w:val="577C275B"/>
    <w:rsid w:val="57BC7C28"/>
    <w:rsid w:val="57FE2ADB"/>
    <w:rsid w:val="580E1120"/>
    <w:rsid w:val="583D2509"/>
    <w:rsid w:val="5850246F"/>
    <w:rsid w:val="5865652E"/>
    <w:rsid w:val="58C53FA4"/>
    <w:rsid w:val="58CA5AB7"/>
    <w:rsid w:val="58EE4D6D"/>
    <w:rsid w:val="59047DBF"/>
    <w:rsid w:val="591111C2"/>
    <w:rsid w:val="592338F6"/>
    <w:rsid w:val="59421301"/>
    <w:rsid w:val="59586158"/>
    <w:rsid w:val="595A16D9"/>
    <w:rsid w:val="59A3207E"/>
    <w:rsid w:val="59A81CB5"/>
    <w:rsid w:val="59CB787E"/>
    <w:rsid w:val="59D26CFC"/>
    <w:rsid w:val="59D43421"/>
    <w:rsid w:val="59D506DD"/>
    <w:rsid w:val="5A6104D4"/>
    <w:rsid w:val="5A6E18CB"/>
    <w:rsid w:val="5AC06F9C"/>
    <w:rsid w:val="5AC077C1"/>
    <w:rsid w:val="5AF041F7"/>
    <w:rsid w:val="5B282499"/>
    <w:rsid w:val="5B2E4889"/>
    <w:rsid w:val="5B5D35FA"/>
    <w:rsid w:val="5B7F0C1E"/>
    <w:rsid w:val="5B995DAC"/>
    <w:rsid w:val="5BAE764A"/>
    <w:rsid w:val="5BE23DB7"/>
    <w:rsid w:val="5C5375FA"/>
    <w:rsid w:val="5C634DF3"/>
    <w:rsid w:val="5CCB33EB"/>
    <w:rsid w:val="5CCE1146"/>
    <w:rsid w:val="5D221572"/>
    <w:rsid w:val="5D5B5E6F"/>
    <w:rsid w:val="5D7574EC"/>
    <w:rsid w:val="5DAF3DFB"/>
    <w:rsid w:val="5DC6662F"/>
    <w:rsid w:val="5DD363D0"/>
    <w:rsid w:val="5DE2052F"/>
    <w:rsid w:val="5DEF7CE3"/>
    <w:rsid w:val="5DFD52DC"/>
    <w:rsid w:val="5E243778"/>
    <w:rsid w:val="5E4B0FB6"/>
    <w:rsid w:val="5E4B4D7C"/>
    <w:rsid w:val="5E5D79F9"/>
    <w:rsid w:val="5EB34969"/>
    <w:rsid w:val="5EB61D0F"/>
    <w:rsid w:val="5EEB058C"/>
    <w:rsid w:val="5EFD398E"/>
    <w:rsid w:val="5F5546AD"/>
    <w:rsid w:val="5F9D2B88"/>
    <w:rsid w:val="5FA35C55"/>
    <w:rsid w:val="6028338F"/>
    <w:rsid w:val="602E4278"/>
    <w:rsid w:val="60337107"/>
    <w:rsid w:val="60551B7C"/>
    <w:rsid w:val="608A62AD"/>
    <w:rsid w:val="614A48DD"/>
    <w:rsid w:val="616E26F3"/>
    <w:rsid w:val="6180016F"/>
    <w:rsid w:val="61980AFD"/>
    <w:rsid w:val="619C35F9"/>
    <w:rsid w:val="61C10E95"/>
    <w:rsid w:val="61D83090"/>
    <w:rsid w:val="61FE6241"/>
    <w:rsid w:val="62137C67"/>
    <w:rsid w:val="62263ECD"/>
    <w:rsid w:val="62785215"/>
    <w:rsid w:val="628C6136"/>
    <w:rsid w:val="62921CAF"/>
    <w:rsid w:val="62A01A3D"/>
    <w:rsid w:val="62AF5AA3"/>
    <w:rsid w:val="62C874A7"/>
    <w:rsid w:val="630E56B1"/>
    <w:rsid w:val="63304AA2"/>
    <w:rsid w:val="63503FC0"/>
    <w:rsid w:val="63991F5C"/>
    <w:rsid w:val="63B70DDC"/>
    <w:rsid w:val="63D74BBC"/>
    <w:rsid w:val="63E702A9"/>
    <w:rsid w:val="63E77597"/>
    <w:rsid w:val="640F52FF"/>
    <w:rsid w:val="642C35B9"/>
    <w:rsid w:val="643167E9"/>
    <w:rsid w:val="643E4A99"/>
    <w:rsid w:val="646D6B99"/>
    <w:rsid w:val="647D28DC"/>
    <w:rsid w:val="64810CD6"/>
    <w:rsid w:val="64AA59B2"/>
    <w:rsid w:val="64C20496"/>
    <w:rsid w:val="64D413A7"/>
    <w:rsid w:val="64E220CD"/>
    <w:rsid w:val="65084A8B"/>
    <w:rsid w:val="652621DC"/>
    <w:rsid w:val="652763F2"/>
    <w:rsid w:val="652A4A28"/>
    <w:rsid w:val="65393199"/>
    <w:rsid w:val="653F212C"/>
    <w:rsid w:val="65515BD7"/>
    <w:rsid w:val="657538E5"/>
    <w:rsid w:val="65783271"/>
    <w:rsid w:val="6580592C"/>
    <w:rsid w:val="65AB35DD"/>
    <w:rsid w:val="661459C4"/>
    <w:rsid w:val="664631DF"/>
    <w:rsid w:val="66885571"/>
    <w:rsid w:val="66995E41"/>
    <w:rsid w:val="66BA0BF3"/>
    <w:rsid w:val="66DC045A"/>
    <w:rsid w:val="66E05F8B"/>
    <w:rsid w:val="66E645D9"/>
    <w:rsid w:val="66FD6274"/>
    <w:rsid w:val="6712688F"/>
    <w:rsid w:val="67222313"/>
    <w:rsid w:val="67536D59"/>
    <w:rsid w:val="678964A8"/>
    <w:rsid w:val="678E5E8B"/>
    <w:rsid w:val="67A90D05"/>
    <w:rsid w:val="67B777C2"/>
    <w:rsid w:val="67DF483B"/>
    <w:rsid w:val="67EA3C44"/>
    <w:rsid w:val="67EE2316"/>
    <w:rsid w:val="68160826"/>
    <w:rsid w:val="6829254F"/>
    <w:rsid w:val="68365E21"/>
    <w:rsid w:val="683B1E40"/>
    <w:rsid w:val="68644906"/>
    <w:rsid w:val="68657487"/>
    <w:rsid w:val="68A702F5"/>
    <w:rsid w:val="69161C18"/>
    <w:rsid w:val="695B13FE"/>
    <w:rsid w:val="698D79BA"/>
    <w:rsid w:val="69B177AA"/>
    <w:rsid w:val="69D90AE2"/>
    <w:rsid w:val="69E22DF3"/>
    <w:rsid w:val="69EC02A9"/>
    <w:rsid w:val="6A125C3F"/>
    <w:rsid w:val="6A135607"/>
    <w:rsid w:val="6A234580"/>
    <w:rsid w:val="6A761CE5"/>
    <w:rsid w:val="6B14660C"/>
    <w:rsid w:val="6B1F2EAA"/>
    <w:rsid w:val="6B7048FB"/>
    <w:rsid w:val="6BBC7781"/>
    <w:rsid w:val="6BC01C13"/>
    <w:rsid w:val="6BFB68B3"/>
    <w:rsid w:val="6C1C48FE"/>
    <w:rsid w:val="6C637F2E"/>
    <w:rsid w:val="6C6A2D6A"/>
    <w:rsid w:val="6C863097"/>
    <w:rsid w:val="6CAC2EFF"/>
    <w:rsid w:val="6CAC374B"/>
    <w:rsid w:val="6CB07C89"/>
    <w:rsid w:val="6CC23088"/>
    <w:rsid w:val="6CC71BEE"/>
    <w:rsid w:val="6CD42D63"/>
    <w:rsid w:val="6D0468D3"/>
    <w:rsid w:val="6D1E2632"/>
    <w:rsid w:val="6D847E46"/>
    <w:rsid w:val="6D9D0427"/>
    <w:rsid w:val="6DD76241"/>
    <w:rsid w:val="6DF17F52"/>
    <w:rsid w:val="6E0134C9"/>
    <w:rsid w:val="6E114F7A"/>
    <w:rsid w:val="6E977789"/>
    <w:rsid w:val="6EAB7865"/>
    <w:rsid w:val="6EC817EE"/>
    <w:rsid w:val="6EE22B54"/>
    <w:rsid w:val="6EFE414D"/>
    <w:rsid w:val="6F0D0C80"/>
    <w:rsid w:val="6FA0526F"/>
    <w:rsid w:val="6FA54553"/>
    <w:rsid w:val="6FAA7B2C"/>
    <w:rsid w:val="6FB30B03"/>
    <w:rsid w:val="6FDD0058"/>
    <w:rsid w:val="70021F50"/>
    <w:rsid w:val="705D7F2E"/>
    <w:rsid w:val="709B6FCB"/>
    <w:rsid w:val="70FE57E7"/>
    <w:rsid w:val="71231C75"/>
    <w:rsid w:val="715430A1"/>
    <w:rsid w:val="7161576F"/>
    <w:rsid w:val="719F6F93"/>
    <w:rsid w:val="71E61428"/>
    <w:rsid w:val="7205246D"/>
    <w:rsid w:val="7283160F"/>
    <w:rsid w:val="729D1B52"/>
    <w:rsid w:val="72AD7A67"/>
    <w:rsid w:val="72BF364C"/>
    <w:rsid w:val="72E569D0"/>
    <w:rsid w:val="72F627C7"/>
    <w:rsid w:val="72FF4371"/>
    <w:rsid w:val="730D70A2"/>
    <w:rsid w:val="736F152E"/>
    <w:rsid w:val="737236E5"/>
    <w:rsid w:val="73CF0EB2"/>
    <w:rsid w:val="73E82D9E"/>
    <w:rsid w:val="73FD58B0"/>
    <w:rsid w:val="741C2CB6"/>
    <w:rsid w:val="74252CE8"/>
    <w:rsid w:val="74457264"/>
    <w:rsid w:val="74683E6F"/>
    <w:rsid w:val="747A12E1"/>
    <w:rsid w:val="747C4F89"/>
    <w:rsid w:val="74B609DE"/>
    <w:rsid w:val="752B0C20"/>
    <w:rsid w:val="756F5FED"/>
    <w:rsid w:val="75860E80"/>
    <w:rsid w:val="75AA437F"/>
    <w:rsid w:val="75DA7BE6"/>
    <w:rsid w:val="75EF22A0"/>
    <w:rsid w:val="75FB5996"/>
    <w:rsid w:val="763E5277"/>
    <w:rsid w:val="7664730E"/>
    <w:rsid w:val="766617A9"/>
    <w:rsid w:val="76755F71"/>
    <w:rsid w:val="76B776E6"/>
    <w:rsid w:val="76CC2B6B"/>
    <w:rsid w:val="772C7A3D"/>
    <w:rsid w:val="77363B67"/>
    <w:rsid w:val="77405524"/>
    <w:rsid w:val="77724A2D"/>
    <w:rsid w:val="77A4299C"/>
    <w:rsid w:val="783A2B45"/>
    <w:rsid w:val="78CB3D5F"/>
    <w:rsid w:val="78F95E6F"/>
    <w:rsid w:val="79624B5B"/>
    <w:rsid w:val="796D7ECC"/>
    <w:rsid w:val="79AA62EB"/>
    <w:rsid w:val="79AC52D4"/>
    <w:rsid w:val="79D931B1"/>
    <w:rsid w:val="79DC745C"/>
    <w:rsid w:val="79E03C50"/>
    <w:rsid w:val="7A001793"/>
    <w:rsid w:val="7A30787F"/>
    <w:rsid w:val="7A5C182A"/>
    <w:rsid w:val="7A8A6D94"/>
    <w:rsid w:val="7A8B636F"/>
    <w:rsid w:val="7AA34403"/>
    <w:rsid w:val="7ACB7277"/>
    <w:rsid w:val="7ADB4F2E"/>
    <w:rsid w:val="7B134874"/>
    <w:rsid w:val="7B490E6B"/>
    <w:rsid w:val="7B4B1ED7"/>
    <w:rsid w:val="7B873BB3"/>
    <w:rsid w:val="7BA41449"/>
    <w:rsid w:val="7BCE3587"/>
    <w:rsid w:val="7BDD7F8C"/>
    <w:rsid w:val="7C1A36C5"/>
    <w:rsid w:val="7C816A41"/>
    <w:rsid w:val="7C923522"/>
    <w:rsid w:val="7C9F24AC"/>
    <w:rsid w:val="7CA30BC2"/>
    <w:rsid w:val="7CB16890"/>
    <w:rsid w:val="7CED0165"/>
    <w:rsid w:val="7CEE36AD"/>
    <w:rsid w:val="7D065E09"/>
    <w:rsid w:val="7D1D4A7B"/>
    <w:rsid w:val="7D380E1A"/>
    <w:rsid w:val="7D5057FF"/>
    <w:rsid w:val="7D854B56"/>
    <w:rsid w:val="7D987C2B"/>
    <w:rsid w:val="7D9C277B"/>
    <w:rsid w:val="7DE02400"/>
    <w:rsid w:val="7DEB34DD"/>
    <w:rsid w:val="7DEB523E"/>
    <w:rsid w:val="7DFF38B1"/>
    <w:rsid w:val="7E2C6FD7"/>
    <w:rsid w:val="7E3D4AE0"/>
    <w:rsid w:val="7E52676C"/>
    <w:rsid w:val="7E623FD0"/>
    <w:rsid w:val="7E6B1FFC"/>
    <w:rsid w:val="7E847300"/>
    <w:rsid w:val="7EA805E5"/>
    <w:rsid w:val="7ECF1358"/>
    <w:rsid w:val="7EF501E9"/>
    <w:rsid w:val="7F0645A3"/>
    <w:rsid w:val="7F88478F"/>
    <w:rsid w:val="7F923302"/>
    <w:rsid w:val="7F946CDF"/>
    <w:rsid w:val="7F986C72"/>
    <w:rsid w:val="7FAD3C84"/>
    <w:rsid w:val="7FCE7FE8"/>
    <w:rsid w:val="7FDB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31"/>
    <w:basedOn w:val="3"/>
    <w:qFormat/>
    <w:uiPriority w:val="0"/>
    <w:rPr>
      <w:rFonts w:hint="eastAsia" w:ascii="仿宋_GB2312" w:eastAsia="仿宋_GB2312" w:cs="仿宋_GB2312"/>
      <w:color w:val="000000"/>
      <w:sz w:val="22"/>
      <w:szCs w:val="22"/>
      <w:u w:val="none"/>
    </w:rPr>
  </w:style>
  <w:style w:type="character" w:customStyle="1" w:styleId="5">
    <w:name w:val="font11"/>
    <w:basedOn w:val="3"/>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2020-06-09T07:21:00Z</dcterms:created>
  <dc:creator>user</dc:creator>
  <cp:lastModifiedBy>user</cp:lastModifiedBy>
  <dcterms:modified xsi:type="dcterms:W3CDTF">2025-08-28T00:37:29Z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D5A3CDEC5AE24629A666A381212DC011</vt:lpwstr>
  </property>
</Properties>
</file>