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苏州农商银行</w:t>
      </w:r>
      <w:bookmarkStart w:id="0" w:name="_GoBack"/>
      <w:bookmarkEnd w:id="0"/>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2024年度第三支柱信息披露报告</w:t>
      </w:r>
    </w:p>
    <w:p>
      <w:pPr>
        <w:rPr>
          <w:rFonts w:hint="eastAsia" w:ascii="仿宋" w:hAnsi="仿宋" w:eastAsia="仿宋" w:cs="仿宋"/>
          <w:sz w:val="32"/>
          <w:szCs w:val="32"/>
          <w:lang w:val="en-US" w:eastAsia="zh-CN"/>
        </w:rPr>
      </w:pP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本行为非国内系统重要性银行，根据《商业银行资本管理办法》（以下简称“办法”）附件22《商业银行信息披露内容和要求》的规定，本行按照办法第三章规定的并表范围披露相关信息。</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根据办法，公司首次披露相关信息，无需对前期数据追溯披露。本季度公司需披露的报表如下：</w:t>
      </w:r>
    </w:p>
    <w:p>
      <w:pPr>
        <w:ind w:firstLine="640" w:firstLineChars="200"/>
        <w:rPr>
          <w:rFonts w:hint="eastAsia" w:ascii="仿宋" w:hAnsi="仿宋" w:eastAsia="仿宋" w:cs="仿宋"/>
          <w:sz w:val="32"/>
          <w:szCs w:val="32"/>
          <w:lang w:val="en-US" w:eastAsia="zh-CN"/>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附表一：KM1监管并表关键审慎监管指标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7"/>
        <w:gridCol w:w="3756"/>
        <w:gridCol w:w="2115"/>
        <w:gridCol w:w="2014"/>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93" w:type="dxa"/>
            <w:gridSpan w:val="2"/>
            <w:vMerge w:val="restart"/>
            <w:tcBorders>
              <w:top w:val="single" w:color="000000" w:sz="4" w:space="0"/>
              <w:left w:val="single" w:color="000000"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115" w:type="dxa"/>
            <w:tcBorders>
              <w:top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014" w:type="dxa"/>
            <w:tcBorders>
              <w:top w:val="single" w:color="000000" w:sz="4" w:space="0"/>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4393" w:type="dxa"/>
            <w:gridSpan w:val="2"/>
            <w:vMerge w:val="continue"/>
            <w:tcBorders>
              <w:left w:val="single" w:color="000000"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115" w:type="dxa"/>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2024年12月31日</w:t>
            </w:r>
          </w:p>
        </w:tc>
        <w:tc>
          <w:tcPr>
            <w:tcW w:w="2014" w:type="dxa"/>
            <w:tcBorders>
              <w:right w:val="single" w:color="000000"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2024年9月30日</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trPr>
        <w:tc>
          <w:tcPr>
            <w:tcW w:w="6508" w:type="dxa"/>
            <w:gridSpan w:val="3"/>
            <w:tcBorders>
              <w:left w:val="single" w:color="000000" w:sz="4" w:space="0"/>
            </w:tcBorders>
            <w:shd w:val="clear" w:color="000000" w:fill="D9D9D9"/>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b/>
                <w:bCs/>
                <w:color w:val="000000" w:themeColor="text1"/>
                <w:sz w:val="24"/>
                <w:szCs w:val="24"/>
                <w14:textFill>
                  <w14:solidFill>
                    <w14:schemeClr w14:val="tx1"/>
                  </w14:solidFill>
                </w14:textFill>
              </w:rPr>
              <w:t>可用资本（</w:t>
            </w:r>
            <w:r>
              <w:rPr>
                <w:rFonts w:hint="eastAsia" w:ascii="仿宋_GB2312" w:hAnsi="仿宋" w:eastAsia="仿宋_GB2312" w:cs="Arial Unicode MS"/>
                <w:b/>
                <w:bCs/>
                <w:color w:val="000000" w:themeColor="text1"/>
                <w:sz w:val="24"/>
                <w:szCs w:val="24"/>
                <w:lang w:eastAsia="zh-CN"/>
                <w14:textFill>
                  <w14:solidFill>
                    <w14:schemeClr w14:val="tx1"/>
                  </w14:solidFill>
                </w14:textFill>
              </w:rPr>
              <w:t>数</w:t>
            </w:r>
            <w:r>
              <w:rPr>
                <w:rFonts w:hint="eastAsia" w:ascii="仿宋_GB2312" w:hAnsi="仿宋" w:eastAsia="仿宋_GB2312" w:cs="Arial Unicode MS"/>
                <w:b/>
                <w:bCs/>
                <w:color w:val="000000" w:themeColor="text1"/>
                <w:sz w:val="24"/>
                <w:szCs w:val="24"/>
                <w14:textFill>
                  <w14:solidFill>
                    <w14:schemeClr w14:val="tx1"/>
                  </w14:solidFill>
                </w14:textFill>
              </w:rPr>
              <w:t>额）</w:t>
            </w:r>
          </w:p>
        </w:tc>
        <w:tc>
          <w:tcPr>
            <w:tcW w:w="2014" w:type="dxa"/>
            <w:tcBorders>
              <w:right w:val="single" w:color="000000" w:sz="4" w:space="0"/>
            </w:tcBorders>
            <w:shd w:val="clear" w:color="000000" w:fill="D9D9D9"/>
          </w:tcPr>
          <w:p>
            <w:pPr>
              <w:snapToGrid w:val="0"/>
              <w:spacing w:line="480" w:lineRule="exact"/>
              <w:rPr>
                <w:rFonts w:hint="eastAsia" w:ascii="仿宋_GB2312" w:hAnsi="仿宋" w:eastAsia="仿宋_GB2312" w:cs="Arial Unicode MS"/>
                <w:b/>
                <w:bCs/>
                <w:color w:val="000000" w:themeColor="text1"/>
                <w:sz w:val="24"/>
                <w:szCs w:val="24"/>
                <w14:textFill>
                  <w14:solidFill>
                    <w14:schemeClr w14:val="tx1"/>
                  </w14:solidFill>
                </w14:textFill>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核心一级资本净额</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16750284</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16188273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16750693</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16188716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3</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w:t>
            </w:r>
            <w:r>
              <w:rPr>
                <w:rFonts w:hint="eastAsia" w:ascii="仿宋_GB2312" w:hAnsi="仿宋" w:eastAsia="仿宋_GB2312" w:cs="Arial Unicode MS"/>
                <w:color w:val="000000" w:themeColor="text1"/>
                <w:sz w:val="24"/>
                <w:szCs w:val="24"/>
                <w:lang w:eastAsia="zh-CN"/>
                <w14:textFill>
                  <w14:solidFill>
                    <w14:schemeClr w14:val="tx1"/>
                  </w14:solidFill>
                </w14:textFill>
              </w:rPr>
              <w:t>净额</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20076198</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19444091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4</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风险加权资产</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153505147</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151887659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77"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核心一级资本充足率（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10.91</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6</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一级资本充足率（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10.91</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10.66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7</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资本充足率（</w:t>
            </w:r>
            <w:r>
              <w:rPr>
                <w:rFonts w:ascii="仿宋_GB2312" w:hAnsi="仿宋" w:eastAsia="仿宋_GB2312" w:cs="Arial Unicode MS"/>
                <w:color w:val="000000" w:themeColor="text1"/>
                <w:sz w:val="24"/>
                <w:szCs w:val="24"/>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13.08</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12.80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8</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储备资本要求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9</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逆周期资本要求（</w:t>
            </w:r>
            <w:r>
              <w:rPr>
                <w:rFonts w:ascii="仿宋_GB2312" w:hAnsi="仿宋" w:eastAsia="仿宋_GB2312" w:cs="Arial Unicode MS"/>
                <w:color w:val="000000" w:themeColor="text1"/>
                <w:sz w:val="24"/>
                <w:szCs w:val="24"/>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0.00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37" w:type="dxa"/>
            <w:tcBorders>
              <w:left w:val="single" w:color="000000" w:sz="4" w:space="0"/>
            </w:tcBorders>
            <w:shd w:val="clear" w:color="auto" w:fill="auto"/>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10</w:t>
            </w:r>
          </w:p>
        </w:tc>
        <w:tc>
          <w:tcPr>
            <w:tcW w:w="3756" w:type="dxa"/>
            <w:shd w:val="clear" w:color="auto" w:fill="auto"/>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全球系统重要性银行或国内系统重要性银行附加资本要求（</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shd w:val="clear" w:color="auto" w:fill="BEBEBE"/>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p>
        </w:tc>
        <w:tc>
          <w:tcPr>
            <w:tcW w:w="2014" w:type="dxa"/>
            <w:tcBorders>
              <w:right w:val="single" w:color="000000" w:sz="4" w:space="0"/>
            </w:tcBorders>
            <w:shd w:val="clear" w:color="auto" w:fill="BEBEBE"/>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11</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其他各级资本要求（</w:t>
            </w:r>
            <w:r>
              <w:rPr>
                <w:rFonts w:ascii="仿宋_GB2312" w:hAnsi="仿宋" w:eastAsia="仿宋_GB2312" w:cs="Arial Unicode MS"/>
                <w:color w:val="000000" w:themeColor="text1"/>
                <w:sz w:val="24"/>
                <w:szCs w:val="24"/>
                <w:lang w:eastAsia="zh-CN"/>
                <w14:textFill>
                  <w14:solidFill>
                    <w14:schemeClr w14:val="tx1"/>
                  </w14:solidFill>
                </w14:textFill>
              </w:rPr>
              <w:t>%）（8+9+10）</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2.50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12</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满足最低资本要求后的可用核心一级资本净额占风险加权资产的比例（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5.91</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5.66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13</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调整后表内外资产余额</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249875809</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242653277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14</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1</w:t>
            </w:r>
            <w:r>
              <w:rPr>
                <w:rFonts w:ascii="仿宋_GB2312" w:hAnsi="仿宋" w:eastAsia="仿宋_GB2312" w:cs="Arial Unicode MS"/>
                <w:color w:val="000000" w:themeColor="text1"/>
                <w:sz w:val="24"/>
                <w:szCs w:val="24"/>
                <w:lang w:eastAsia="zh-CN"/>
                <w14:textFill>
                  <w14:solidFill>
                    <w14:schemeClr w14:val="tx1"/>
                  </w14:solidFill>
                </w14:textFill>
              </w:rPr>
              <w:t>4</w:t>
            </w:r>
            <w:r>
              <w:rPr>
                <w:rFonts w:hint="eastAsia" w:ascii="仿宋_GB2312" w:hAnsi="仿宋" w:eastAsia="仿宋_GB2312" w:cs="Arial Unicode MS"/>
                <w:color w:val="000000" w:themeColor="text1"/>
                <w:sz w:val="24"/>
                <w:szCs w:val="24"/>
                <w:lang w:eastAsia="zh-CN"/>
                <w14:textFill>
                  <w14:solidFill>
                    <w14:schemeClr w14:val="tx1"/>
                  </w14:solidFill>
                </w14:textFill>
              </w:rPr>
              <w:t>a</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_GB2312" w:eastAsia="仿宋_GB2312" w:cs="仿宋_GB2312"/>
                <w:color w:val="000000" w:themeColor="text1"/>
                <w:sz w:val="24"/>
                <w:szCs w:val="24"/>
                <w:lang w:eastAsia="zh-CN"/>
                <w14:textFill>
                  <w14:solidFill>
                    <w14:schemeClr w14:val="tx1"/>
                  </w14:solidFill>
                </w14:textFill>
              </w:rPr>
              <w:t>杠杆率a</w:t>
            </w:r>
            <w:r>
              <w:rPr>
                <w:rFonts w:hint="eastAsia" w:ascii="仿宋_GB2312" w:hAnsi="仿宋" w:eastAsia="仿宋_GB2312" w:cs="Arial Unicode MS"/>
                <w:color w:val="000000" w:themeColor="text1"/>
                <w:sz w:val="24"/>
                <w:szCs w:val="24"/>
                <w:lang w:eastAsia="zh-CN"/>
                <w14:textFill>
                  <w14:solidFill>
                    <w14:schemeClr w14:val="tx1"/>
                  </w14:solidFill>
                </w14:textFill>
              </w:rPr>
              <w:t>（</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15</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合格优质流动性资产</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20903783</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21990886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16</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现金净流出</w:t>
            </w:r>
            <w:r>
              <w:rPr>
                <w:rFonts w:hint="eastAsia" w:ascii="仿宋_GB2312" w:hAnsi="仿宋" w:eastAsia="仿宋_GB2312" w:cs="Arial Unicode MS"/>
                <w:color w:val="000000" w:themeColor="text1"/>
                <w:sz w:val="24"/>
                <w:szCs w:val="24"/>
                <w:lang w:eastAsia="zh-CN"/>
                <w14:textFill>
                  <w14:solidFill>
                    <w14:schemeClr w14:val="tx1"/>
                  </w14:solidFill>
                </w14:textFill>
              </w:rPr>
              <w:t>量</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15814510</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16831392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17</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流动性覆盖率（</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132.18</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130.65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93" w:type="dxa"/>
            <w:gridSpan w:val="2"/>
            <w:tcBorders>
              <w:left w:val="single" w:color="000000" w:sz="4" w:space="0"/>
            </w:tcBorders>
            <w:shd w:val="clear" w:color="000000" w:fill="D9D9D9"/>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000000" w:fill="D9D9D9"/>
            <w:vAlign w:val="center"/>
          </w:tcPr>
          <w:p>
            <w:pPr>
              <w:jc w:val="right"/>
              <w:rPr>
                <w:rFonts w:hint="default" w:ascii="Arial" w:hAnsi="Arial" w:cs="Arial"/>
                <w:sz w:val="24"/>
                <w:szCs w:val="24"/>
              </w:rPr>
            </w:pPr>
          </w:p>
        </w:tc>
        <w:tc>
          <w:tcPr>
            <w:tcW w:w="2014" w:type="dxa"/>
            <w:tcBorders>
              <w:right w:val="single" w:color="000000" w:sz="4" w:space="0"/>
            </w:tcBorders>
            <w:shd w:val="clear" w:color="000000" w:fill="D9D9D9"/>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18</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可用稳定资金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154947945</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154966562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19</w:t>
            </w:r>
          </w:p>
        </w:tc>
        <w:tc>
          <w:tcPr>
            <w:tcW w:w="3756" w:type="dxa"/>
            <w:vAlign w:val="center"/>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所需</w:t>
            </w:r>
            <w:r>
              <w:rPr>
                <w:rFonts w:hint="eastAsia" w:ascii="仿宋_GB2312" w:hAnsi="仿宋" w:eastAsia="仿宋_GB2312" w:cs="Arial Unicode MS"/>
                <w:color w:val="000000" w:themeColor="text1"/>
                <w:sz w:val="24"/>
                <w:szCs w:val="24"/>
                <w14:textFill>
                  <w14:solidFill>
                    <w14:schemeClr w14:val="tx1"/>
                  </w14:solidFill>
                </w14:textFill>
              </w:rPr>
              <w:t>稳定资金</w:t>
            </w:r>
            <w:r>
              <w:rPr>
                <w:rFonts w:hint="eastAsia" w:ascii="仿宋_GB2312" w:hAnsi="仿宋" w:eastAsia="仿宋_GB2312" w:cs="Arial Unicode MS"/>
                <w:color w:val="000000" w:themeColor="text1"/>
                <w:sz w:val="24"/>
                <w:szCs w:val="24"/>
                <w:lang w:eastAsia="zh-CN"/>
                <w14:textFill>
                  <w14:solidFill>
                    <w14:schemeClr w14:val="tx1"/>
                  </w14:solidFill>
                </w14:textFill>
              </w:rPr>
              <w:t>合计</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95319082</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92262869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20</w:t>
            </w:r>
          </w:p>
        </w:tc>
        <w:tc>
          <w:tcPr>
            <w:tcW w:w="3756" w:type="dxa"/>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净稳定资金比例（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162.56</w:t>
            </w:r>
          </w:p>
        </w:tc>
        <w:tc>
          <w:tcPr>
            <w:tcW w:w="2014" w:type="dxa"/>
            <w:tcBorders>
              <w:right w:val="single" w:color="000000" w:sz="4" w:space="0"/>
            </w:tcBorders>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167.96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393" w:type="dxa"/>
            <w:gridSpan w:val="2"/>
            <w:tcBorders>
              <w:left w:val="single" w:color="000000" w:sz="4" w:space="0"/>
            </w:tcBorders>
            <w:shd w:val="clear" w:color="auto" w:fill="D8D8D8"/>
            <w:vAlign w:val="top"/>
          </w:tcPr>
          <w:p>
            <w:pPr>
              <w:rPr>
                <w:rFonts w:ascii="仿宋_GB2312" w:hAnsi="仿宋" w:eastAsia="仿宋_GB2312" w:cs="Arial Unicode MS"/>
                <w:color w:val="000000" w:themeColor="text1"/>
                <w:sz w:val="24"/>
                <w:szCs w:val="24"/>
                <w:lang w:eastAsia="zh-CN"/>
                <w14:textFill>
                  <w14:solidFill>
                    <w14:schemeClr w14:val="tx1"/>
                  </w14:solidFill>
                </w14:textFill>
              </w:rPr>
            </w:pPr>
          </w:p>
        </w:tc>
        <w:tc>
          <w:tcPr>
            <w:tcW w:w="2115" w:type="dxa"/>
            <w:shd w:val="clear" w:color="auto" w:fill="D8D8D8"/>
            <w:vAlign w:val="center"/>
          </w:tcPr>
          <w:p>
            <w:pPr>
              <w:jc w:val="right"/>
              <w:rPr>
                <w:rFonts w:hint="default" w:ascii="Arial" w:hAnsi="Arial" w:cs="Arial"/>
                <w:sz w:val="24"/>
                <w:szCs w:val="24"/>
              </w:rPr>
            </w:pPr>
          </w:p>
        </w:tc>
        <w:tc>
          <w:tcPr>
            <w:tcW w:w="2014" w:type="dxa"/>
            <w:tcBorders>
              <w:right w:val="single" w:color="000000" w:sz="4" w:space="0"/>
            </w:tcBorders>
            <w:shd w:val="clear" w:color="auto" w:fill="D8D8D8"/>
            <w:vAlign w:val="center"/>
          </w:tcPr>
          <w:p>
            <w:pPr>
              <w:jc w:val="right"/>
              <w:rPr>
                <w:rFonts w:hint="default" w:ascii="Arial" w:hAnsi="Arial" w:cs="Arial"/>
                <w:sz w:val="24"/>
                <w:szCs w:val="24"/>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637" w:type="dxa"/>
            <w:tcBorders>
              <w:left w:val="single" w:color="000000" w:sz="4" w:space="0"/>
              <w:bottom w:val="single" w:color="000000" w:sz="4" w:space="0"/>
            </w:tcBorders>
            <w:shd w:val="clear" w:color="auto" w:fill="FFFFFF"/>
            <w:vAlign w:val="center"/>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21</w:t>
            </w:r>
          </w:p>
        </w:tc>
        <w:tc>
          <w:tcPr>
            <w:tcW w:w="3756" w:type="dxa"/>
            <w:tcBorders>
              <w:bottom w:val="single" w:color="000000" w:sz="4" w:space="0"/>
            </w:tcBorders>
            <w:shd w:val="clear" w:color="auto" w:fill="FFFFFF"/>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流动性比例（</w:t>
            </w:r>
            <w:r>
              <w:rPr>
                <w:rFonts w:ascii="仿宋_GB2312" w:hAnsi="仿宋" w:eastAsia="仿宋_GB2312" w:cs="Arial Unicode MS"/>
                <w:color w:val="000000" w:themeColor="text1"/>
                <w:sz w:val="24"/>
                <w:szCs w:val="24"/>
                <w:lang w:eastAsia="zh-CN"/>
                <w14:textFill>
                  <w14:solidFill>
                    <w14:schemeClr w14:val="tx1"/>
                  </w14:solidFill>
                </w14:textFill>
              </w:rPr>
              <w:t>%）</w:t>
            </w:r>
          </w:p>
        </w:tc>
        <w:tc>
          <w:tcPr>
            <w:tcW w:w="2115" w:type="dxa"/>
            <w:tcBorders>
              <w:bottom w:val="single" w:color="000000" w:sz="4" w:space="0"/>
            </w:tcBorders>
            <w:shd w:val="clear" w:color="auto" w:fill="FFFFFF"/>
            <w:vAlign w:val="center"/>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97.17</w:t>
            </w:r>
          </w:p>
        </w:tc>
        <w:tc>
          <w:tcPr>
            <w:tcW w:w="2014" w:type="dxa"/>
            <w:tcBorders>
              <w:bottom w:val="single" w:color="000000" w:sz="4" w:space="0"/>
              <w:right w:val="single" w:color="000000" w:sz="4" w:space="0"/>
            </w:tcBorders>
            <w:shd w:val="clear" w:color="auto" w:fill="FFFFFF"/>
            <w:vAlign w:val="center"/>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97.31</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360" w:lineRule="auto"/>
        <w:jc w:val="lef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附表二：OV</w:t>
      </w:r>
      <w:r>
        <w:rPr>
          <w:rFonts w:hint="eastAsia" w:ascii="楷体" w:hAnsi="楷体" w:eastAsia="楷体" w:cs="楷体"/>
          <w:color w:val="000000" w:themeColor="text1"/>
          <w:sz w:val="30"/>
          <w:szCs w:val="30"/>
          <w:lang w:val="en-US" w:eastAsia="zh-CN"/>
          <w14:textFill>
            <w14:solidFill>
              <w14:schemeClr w14:val="tx1"/>
            </w14:solidFill>
          </w14:textFill>
        </w:rPr>
        <w:t>A</w:t>
      </w:r>
      <w:r>
        <w:rPr>
          <w:rFonts w:hint="eastAsia" w:ascii="楷体" w:hAnsi="楷体" w:eastAsia="楷体" w:cs="楷体"/>
          <w:color w:val="000000" w:themeColor="text1"/>
          <w:sz w:val="30"/>
          <w:szCs w:val="30"/>
          <w:lang w:eastAsia="zh-CN"/>
          <w14:textFill>
            <w14:solidFill>
              <w14:schemeClr w14:val="tx1"/>
            </w14:solidFill>
          </w14:textFill>
        </w:rPr>
        <w:t>风险管理定性信息</w:t>
      </w:r>
    </w:p>
    <w:p>
      <w:pPr>
        <w:snapToGrid w:val="0"/>
        <w:spacing w:line="480" w:lineRule="exact"/>
        <w:ind w:firstLine="600" w:firstLineChars="200"/>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1.商业银行的业务模式如何决定其整体风险状况,业务模式与风险状况间、风险状况与董事会批准的风险容忍度间如何相互影响。</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审慎合规、稳中求进是全行工作总基调。本行坚持稳中求进、以进促稳、先立后破，有力有序有效推进“三一五”战略规划的落地。结合市场和宏观经济变化，基于全行经营发展理念、战略发展方向制定风险管理策略，明确全行风险偏好。通过制定《风险偏好陈述书》结合限额管理，将全行风险管理策略有效传导至全行。</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风险偏好的制定涵盖区域、行业、客户、产品等限额管理，涉及信用风险、集中度风险、流动性风险、市场风险等主要风险类型。全行风险偏好定性指标和定量指标并重，定性和定量考核与战略目标、经营计划、资本规划、绩效考评和薪酬机制相衔接。通过制度体系的完善，规范组织架构和职责分工，以合理界定董事会、高级管理层和首席风险官、业务条线、风险部门在制定和实施风险偏好过程中的职责。通过完善全行风险偏好管理机制和报告机制，及时有效依据业务规模、复杂程度、风险状况的变化，对风险偏好进行调整。通过按季汇报风险偏好限额管理情况和线上偏好限额管理系统监测分析各业务条线、分支机构、附属机构执行情况。按季组织、召开风险管理及内部控制委员会评估全行风险偏好执行情况；按季向董事会、高级管理层汇报全行风险偏好执行情况。</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2.风险治理架构。</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严格按照《中华人民共和国公司法》《中华人民共和国商业银行法》《中华人民共和国证券法》《公司章程》等法律法规和内部制度要求，建立以股东大会、董事会、监事会和高级管理层为主体的“三会一层”公司治理架构。本行三会一层分别按照法律法规及公司章程明确的职责定位和工作规则，各司其职，做到既不虚设，也不错位。股东大会作为最高权力机构，负责重大事项审批和决策；董事会主要负责制定发展战略，强化风险管理、进行财务控制、授权并督促高级管理层开展经营活动的决策，对股东大会负责；高级管理层按照所授权限，组织开展全行业务经营活动；监事会按照职责要求，履行对董事会决策、高级管理层经营以及整体工作合规合法性的监督职能，认真听取非职工监事的意见和建议，确保监事会的独立性。</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将党的领导融入公司治理各个环节，坚持和完善“双向进入、交叉任职”领导体制，符合条件的党委班子成员可以通过法定程序进入董事会、监事会、高级管理层，董事会、监事会、高级管理层中符合条件的党员可以依照有关规定和程序进入党委。本行党委切实发挥把方向、管大局、保落实的领导作用,重点管政治方向、领导班子、基本制度、重大决策和党的建设，切实承担从严管党治党责任，重大经营管理事项必须经党委研究讨论后，再由董事会或高级管理层作出决定，充分发挥党委领导核心作用。</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3.风险文化传递途径。</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本行推行审慎稳健的风险文化，从管理制度、培训机制、风险评估三个层面建立风险文化体系，全方位提升员工的风控意识。</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（1）制度规范引导。制定《操作风险管理办法》《员工合规守则》《员工异常行为管理实施细则》等一系列制度，明确操作风险管理职责和员工行为规范，将风险文化融入日常操作流程。</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（2）培训教育强化。定期开展合规教育活动，借助线上线下多渠道开展合规知识教育，全行范围组织每日答题活动，利用 “怀德家园” 微信公众号、云端学习线上平台等多样化形式，潜移默化深植合规文化，使风险文化深入人心。</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风险评估推动。各部门、分支机构定期开展操作风险识别评估，采用流程分析法等多种方法，分析风险并制定应对策略。在新产品、新业务推出前进行全面风险评估，增强对风险的认知和应对能力，将风险文化贯穿业务发展全过程。</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4.风险计量体系的计量范围和主要特点。</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结合监管要求及风险管理实践建立风险计量体系，将信用风险、市场风险、操作风险、集中度风险、流动性风险、声誉风险和战略风险直接认定为主要风险。本行对主要风险计量涵盖各主要风险的风险水平与管理能力，以定性和定量相结合的方式客观准确地评估各类风险。</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风险水平评估是基于各风险的资本计量方法，结合相关定量指标或定性描述，对风险水平进行评估或计量。首先，参照监管要求及本行风险信息、数据情况确定各主要风险的风险水平资本附加上限。之后，选取可以反映该类风险高低的指标和关键风险要素建立风险水平评分卡，将风险水平定性分数转化为百分比(%)得出资本附加调整系数。最后，采用资本附加调整系数调整资本附加上限，得到该风险的风险水平资本附加需求。</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风险管理能力评估是指针对各主要风险管理事项，参考监管指引要求设置评估打分卡，对各类风险和事项的管理制度健全性及管理执行情况进行评估。首先，本行将风险水平资本附加上限作为风险管理能力评估资本附加上限。接着，按风险实质性大小分配评估权重作为各风险及事项的管理能力评估资本附加上限。之后，开展风险管理能力自评估，涵盖治理架构与职责分工、政策制度、管理流程与工作方法、数据、报告与系统等方面。最后，采用各风险及事项的管理能力评估结果调整其资本附加上限，确定风险管理能力资本附加比例。</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5.向董事会和高级管理层提交风险报告的流程，特别是报告风险暴露范围和主要内容的流程。</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建立风险管理报告制度。对于风险管理定期报告、重大风险事件报告等的报告内容、路径及事件要求等作了明确。定期报告指定期评估全面风险管理情况、单项风险管理情况的报告。由各机构提交风险管理部汇总汇报高级管理层及董事会。重大风险事件报告指在发生对本行经营管理造成重大影响的事件时所提交的分析报告，由分支机构或各类风险归口部门提交风险管理部，由风险管理部提交高级管理层或董事会。</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6.压力测试情况。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建立压力测试体系，明确压力测试的治理结构、政策文档、方法流程、情景设计、保障支持、验证评估以及压力测试结果运用。开展包括但不限于：偿付能力敏感性压力测试，通过考察整体及重点领域风险状况恶化对本行整体资本充足水平的不利影响，开展自上而下压力测试，评估内部资本充足情况；流动性风险压力测试，考察政策因素、宏观经济因素、突发因素等多种流动性风险压力因素对银行各到期期限的现金流缺口的影响，并据此调整业务经营、约束资产扩张的情况；市场风险压力测试，考察银行间债券市场收益率曲线整体平移以及不同年期债券在市场变动中可能出现的不同走势，对本行可供出售类账户和交易类账户资产价值的影响，测试本行持仓债券市场风险承压能力，并据此提出相应的风险控制建议。</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7.识别、计量、监测、缓释和控制风险的策略及流程。</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建立健全完善的风险管理制度体系，并定期开展评估，及时根据外规要求或内部实际，进行修订完善或查漏补缺。对于包括信用风险、市场风险、流动性风险、操作风险在内的各类风险采取定性管理和定量管理的方法。通过对各类风险依据行内偏好设定定量限额管理。按季对限额指标监控，调节异常指标，控制风险规模、调整业务结构。按年对各类风险管理进行定性评价。通过管理模式、管理流程、管理成果进行作证评估。评估管理模式合理性、管理流程有效性和管理成果有效性。</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建立健全风险隔离制度、跨部门风险管理机制。通过部门信息共享、协调管理。例如市场风险中存在企业债券违约、信贷系统第一时间推送企业债券违约风险预警提示，督促客户经理尽快落实贷款信用风险核查，包括但不限于企业征信情况、抵质押物充足性等。实现跨部门、跨风险监测，防止风险传染情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建立风险加总的政策、程序。本行构建统一规范的风险数据集市，积累信用风险、操作风险、市场风险等重点风险领域数据，能够从各主要维度组合层面汇总获取全部相关数据，识别和报告风险敞口、集中度和潜在风险情况等。</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8.内部资本充足评估的方法和程序。</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监管要求，本行建立完善的ICAAP治理架构和管理流程、政策制度体系和风险偏好体系，逐步完善主要风险识别与评估机制，结合中长期及压力情景下的资本需求，制定未来三年资本管理规划和应急预案，确保资本水平与面临的主要风险及风险管理水平相适应，资本管理规划与经营状况、风险变化趋势和长期发展战略相匹配，确保银行可持续发展和稳健经营。</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本行内部资本充足评估工作是在董事会及其下设风险管理及关联交易控制委员会的领导下开展的，治理架构还包括监事会、高级管理层及其下设资产负债委员会、相关职能部门。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本行充分分析宏观经济环境、本行经营战略、外部监管要求，严格审慎制定新一年度风险偏好指标体系，编写全行风险偏好陈述书，其中，对资本充足率偏好限额进行了科学评估及设定。</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风险评估工作包括主要风险识别、主要风险评估和确定第二支柱资本附加水平。在开展年度风险评估时，本行首先运用定量与定性相结合的分析方法，识别本行未来一年所面临的主要风险类型；此后，对各类主要风险的风险水平与管理能力进行评估，并依据评估结果，确定本行第二支柱资本附加水平。</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本行已初步建立资本充足率压力测试管理流程与工作方案，明确了压力情景设置、压力传导、结果汇总、分析、报告等核心工作流程及主要方法，制定切实有效的应急响应方案。</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9.资本规划和资本充足率管理计划。</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资本规划整体把握适应经济发展新常态、有效满足监管要求、风险管理能力与资本充足水平相适应、平衡股东综合回报与业务持续健康发展的原则，综合考虑宏观经济环境、区域经济环境、国内监管环境、本行战略发展需要、支持实体经济发展、响应乡村振兴战略等因素。每年由风险管理及关联交易控制委员会制定全年的资本充足率水平管理目标、分层预警线及风险偏好，经董事会决议。资产负债管理委员会根据管理目标，制定近三年的长期资本规划，并根据结果制定相应的资本补充规划方案，提交董事会审议，确保全行资本长期保持相对充足稳定。</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行每年结合全面预算方案，制定年度资本充足率管理计划，并经资产负债管理委员会审议。同时通过常态化的监测、分析及动态调整机制，保证资本充足率指标满足监管要求，资本充足水平满足全行日常经营发展需要，确保全行拥有足够资本以抵御所面临的非预期风险。</w:t>
      </w: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附表三：OV1风险加权资产概况</w:t>
      </w: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7" w:type="dxa"/>
        <w:tblInd w:w="0" w:type="dxa"/>
        <w:tblLayout w:type="fixed"/>
        <w:tblCellMar>
          <w:top w:w="0" w:type="dxa"/>
          <w:left w:w="108" w:type="dxa"/>
          <w:bottom w:w="0" w:type="dxa"/>
          <w:right w:w="108" w:type="dxa"/>
        </w:tblCellMar>
      </w:tblPr>
      <w:tblGrid>
        <w:gridCol w:w="478"/>
        <w:gridCol w:w="1746"/>
        <w:gridCol w:w="2130"/>
        <w:gridCol w:w="2040"/>
        <w:gridCol w:w="2132"/>
        <w:gridCol w:w="1"/>
      </w:tblGrid>
      <w:tr>
        <w:tblPrEx>
          <w:tblLayout w:type="fixed"/>
          <w:tblCellMar>
            <w:top w:w="0" w:type="dxa"/>
            <w:left w:w="108" w:type="dxa"/>
            <w:bottom w:w="0" w:type="dxa"/>
            <w:right w:w="108" w:type="dxa"/>
          </w:tblCellMar>
        </w:tblPrEx>
        <w:trPr>
          <w:gridAfter w:val="1"/>
          <w:wAfter w:w="1" w:type="dxa"/>
          <w:trHeight w:val="330" w:hRule="atLeast"/>
        </w:trPr>
        <w:tc>
          <w:tcPr>
            <w:tcW w:w="2224" w:type="dxa"/>
            <w:gridSpan w:val="2"/>
            <w:vMerge w:val="restart"/>
            <w:tcBorders>
              <w:top w:val="single" w:color="000000" w:sz="4" w:space="0"/>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　</w:t>
            </w:r>
          </w:p>
        </w:tc>
        <w:tc>
          <w:tcPr>
            <w:tcW w:w="2130" w:type="dxa"/>
            <w:tcBorders>
              <w:top w:val="single" w:color="000000" w:sz="4" w:space="0"/>
              <w:left w:val="nil"/>
              <w:bottom w:val="single" w:color="auto" w:sz="4" w:space="0"/>
              <w:right w:val="single" w:color="auto"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a</w:t>
            </w:r>
          </w:p>
        </w:tc>
        <w:tc>
          <w:tcPr>
            <w:tcW w:w="2040" w:type="dxa"/>
            <w:tcBorders>
              <w:top w:val="single" w:color="000000" w:sz="4" w:space="0"/>
              <w:left w:val="single" w:color="auto" w:sz="4" w:space="0"/>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b</w:t>
            </w:r>
          </w:p>
        </w:tc>
        <w:tc>
          <w:tcPr>
            <w:tcW w:w="2132" w:type="dxa"/>
            <w:tcBorders>
              <w:top w:val="single" w:color="000000"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c</w:t>
            </w:r>
          </w:p>
        </w:tc>
      </w:tr>
      <w:tr>
        <w:tblPrEx>
          <w:tblLayout w:type="fixed"/>
          <w:tblCellMar>
            <w:top w:w="0" w:type="dxa"/>
            <w:left w:w="108" w:type="dxa"/>
            <w:bottom w:w="0" w:type="dxa"/>
            <w:right w:w="108" w:type="dxa"/>
          </w:tblCellMar>
        </w:tblPrEx>
        <w:trPr>
          <w:gridAfter w:val="1"/>
          <w:wAfter w:w="1" w:type="dxa"/>
          <w:trHeight w:val="330" w:hRule="atLeast"/>
        </w:trPr>
        <w:tc>
          <w:tcPr>
            <w:tcW w:w="2224" w:type="dxa"/>
            <w:gridSpan w:val="2"/>
            <w:vMerge w:val="continue"/>
            <w:tcBorders>
              <w:left w:val="single" w:color="000000"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4170" w:type="dxa"/>
            <w:gridSpan w:val="2"/>
            <w:tcBorders>
              <w:top w:val="single" w:color="auto" w:sz="4" w:space="0"/>
              <w:left w:val="nil"/>
              <w:bottom w:val="single" w:color="auto" w:sz="4" w:space="0"/>
              <w:right w:val="single" w:color="auto" w:sz="4" w:space="0"/>
            </w:tcBorders>
            <w:vAlign w:val="center"/>
          </w:tcPr>
          <w:p>
            <w:pPr>
              <w:snapToGrid w:val="0"/>
              <w:spacing w:line="480" w:lineRule="exact"/>
              <w:jc w:val="center"/>
              <w:rPr>
                <w:rFonts w:hint="eastAsia"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风险加权资产</w:t>
            </w:r>
          </w:p>
        </w:tc>
        <w:tc>
          <w:tcPr>
            <w:tcW w:w="213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ind w:left="-295" w:firstLine="295"/>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14:textFill>
                  <w14:solidFill>
                    <w14:schemeClr w14:val="tx1"/>
                  </w14:solidFill>
                </w14:textFill>
              </w:rPr>
              <w:t>最低资本要求</w:t>
            </w:r>
          </w:p>
        </w:tc>
      </w:tr>
      <w:tr>
        <w:tblPrEx>
          <w:tblLayout w:type="fixed"/>
          <w:tblCellMar>
            <w:top w:w="0" w:type="dxa"/>
            <w:left w:w="108" w:type="dxa"/>
            <w:bottom w:w="0" w:type="dxa"/>
            <w:right w:w="108" w:type="dxa"/>
          </w:tblCellMar>
        </w:tblPrEx>
        <w:trPr>
          <w:gridAfter w:val="1"/>
          <w:wAfter w:w="1" w:type="dxa"/>
          <w:trHeight w:val="330" w:hRule="atLeast"/>
        </w:trPr>
        <w:tc>
          <w:tcPr>
            <w:tcW w:w="2224" w:type="dxa"/>
            <w:gridSpan w:val="2"/>
            <w:vMerge w:val="continue"/>
            <w:tcBorders>
              <w:left w:val="single" w:color="000000" w:sz="4" w:space="0"/>
              <w:bottom w:val="single" w:color="auto" w:sz="4" w:space="0"/>
              <w:right w:val="single" w:color="auto" w:sz="4" w:space="0"/>
            </w:tcBorders>
          </w:tcPr>
          <w:p>
            <w:pPr>
              <w:snapToGrid w:val="0"/>
              <w:spacing w:line="480" w:lineRule="exact"/>
              <w:rPr>
                <w:rFonts w:ascii="仿宋_GB2312" w:hAnsi="仿宋" w:eastAsia="仿宋_GB2312" w:cs="Arial Unicode MS"/>
                <w:color w:val="000000" w:themeColor="text1"/>
                <w:sz w:val="24"/>
                <w:szCs w:val="24"/>
                <w14:textFill>
                  <w14:solidFill>
                    <w14:schemeClr w14:val="tx1"/>
                  </w14:solidFill>
                </w14:textFill>
              </w:rPr>
            </w:pPr>
          </w:p>
        </w:tc>
        <w:tc>
          <w:tcPr>
            <w:tcW w:w="2130" w:type="dxa"/>
            <w:tcBorders>
              <w:top w:val="nil"/>
              <w:left w:val="nil"/>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2024年12月31日</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480" w:lineRule="exact"/>
              <w:jc w:val="center"/>
              <w:rPr>
                <w:rFonts w:hint="default" w:ascii="仿宋_GB2312" w:hAnsi="仿宋" w:eastAsia="仿宋_GB2312" w:cs="Arial Unicode MS"/>
                <w:color w:val="000000" w:themeColor="text1"/>
                <w:sz w:val="24"/>
                <w:szCs w:val="24"/>
                <w:lang w:val="en-US" w:eastAsia="zh-CN"/>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2024年9月30日</w:t>
            </w:r>
          </w:p>
        </w:tc>
        <w:tc>
          <w:tcPr>
            <w:tcW w:w="2132" w:type="dxa"/>
            <w:tcBorders>
              <w:top w:val="single" w:color="auto" w:sz="4" w:space="0"/>
              <w:left w:val="single" w:color="auto" w:sz="4" w:space="0"/>
              <w:bottom w:val="single" w:color="auto" w:sz="4" w:space="0"/>
              <w:right w:val="single" w:color="000000" w:sz="4" w:space="0"/>
            </w:tcBorders>
            <w:vAlign w:val="center"/>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hint="eastAsia" w:ascii="仿宋_GB2312" w:hAnsi="仿宋" w:eastAsia="仿宋_GB2312" w:cs="Arial Unicode MS"/>
                <w:color w:val="000000" w:themeColor="text1"/>
                <w:sz w:val="24"/>
                <w:szCs w:val="24"/>
                <w:lang w:val="en-US" w:eastAsia="zh-CN"/>
                <w14:textFill>
                  <w14:solidFill>
                    <w14:schemeClr w14:val="tx1"/>
                  </w14:solidFill>
                </w14:textFill>
              </w:rPr>
              <w:t>2024年12月31日</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1</w:t>
            </w:r>
          </w:p>
        </w:tc>
        <w:tc>
          <w:tcPr>
            <w:tcW w:w="1746"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信用风险</w:t>
            </w:r>
          </w:p>
        </w:tc>
        <w:tc>
          <w:tcPr>
            <w:tcW w:w="213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145125960</w:t>
            </w:r>
          </w:p>
        </w:tc>
        <w:tc>
          <w:tcPr>
            <w:tcW w:w="2040"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140486106</w:t>
            </w:r>
          </w:p>
        </w:tc>
        <w:tc>
          <w:tcPr>
            <w:tcW w:w="213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11610077</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2</w:t>
            </w:r>
          </w:p>
        </w:tc>
        <w:tc>
          <w:tcPr>
            <w:tcW w:w="1746"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市场风险</w:t>
            </w:r>
          </w:p>
        </w:tc>
        <w:tc>
          <w:tcPr>
            <w:tcW w:w="213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911410</w:t>
            </w:r>
          </w:p>
        </w:tc>
        <w:tc>
          <w:tcPr>
            <w:tcW w:w="2040"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3978984</w:t>
            </w:r>
          </w:p>
        </w:tc>
        <w:tc>
          <w:tcPr>
            <w:tcW w:w="213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72913</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3</w:t>
            </w:r>
          </w:p>
        </w:tc>
        <w:tc>
          <w:tcPr>
            <w:tcW w:w="1746"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操作风险</w:t>
            </w:r>
          </w:p>
        </w:tc>
        <w:tc>
          <w:tcPr>
            <w:tcW w:w="213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7467778</w:t>
            </w:r>
          </w:p>
        </w:tc>
        <w:tc>
          <w:tcPr>
            <w:tcW w:w="2040"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7422570</w:t>
            </w:r>
          </w:p>
        </w:tc>
        <w:tc>
          <w:tcPr>
            <w:tcW w:w="213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597422</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auto"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lang w:eastAsia="zh-CN"/>
                <w14:textFill>
                  <w14:solidFill>
                    <w14:schemeClr w14:val="tx1"/>
                  </w14:solidFill>
                </w14:textFill>
              </w:rPr>
            </w:pPr>
            <w:r>
              <w:rPr>
                <w:rFonts w:ascii="仿宋_GB2312" w:hAnsi="仿宋" w:eastAsia="仿宋_GB2312" w:cs="Arial Unicode MS"/>
                <w:color w:val="000000" w:themeColor="text1"/>
                <w:sz w:val="24"/>
                <w:szCs w:val="24"/>
                <w:lang w:eastAsia="zh-CN"/>
                <w14:textFill>
                  <w14:solidFill>
                    <w14:schemeClr w14:val="tx1"/>
                  </w14:solidFill>
                </w14:textFill>
              </w:rPr>
              <w:t>4</w:t>
            </w:r>
          </w:p>
        </w:tc>
        <w:tc>
          <w:tcPr>
            <w:tcW w:w="1746" w:type="dxa"/>
            <w:tcBorders>
              <w:top w:val="nil"/>
              <w:left w:val="single" w:color="auto" w:sz="4" w:space="0"/>
              <w:bottom w:val="single" w:color="auto" w:sz="4" w:space="0"/>
              <w:right w:val="single" w:color="auto" w:sz="4" w:space="0"/>
            </w:tcBorders>
            <w:vAlign w:val="center"/>
          </w:tcPr>
          <w:p>
            <w:pPr>
              <w:snapToGrid w:val="0"/>
              <w:spacing w:line="480" w:lineRule="exact"/>
              <w:rPr>
                <w:rFonts w:ascii="仿宋_GB2312" w:hAnsi="仿宋" w:eastAsia="仿宋_GB2312" w:cs="Arial Unicode MS"/>
                <w:color w:val="000000" w:themeColor="text1"/>
                <w:sz w:val="24"/>
                <w:szCs w:val="24"/>
                <w:lang w:eastAsia="zh-CN"/>
                <w14:textFill>
                  <w14:solidFill>
                    <w14:schemeClr w14:val="tx1"/>
                  </w14:solidFill>
                </w14:textFill>
              </w:rPr>
            </w:pPr>
            <w:r>
              <w:rPr>
                <w:rFonts w:hint="eastAsia" w:ascii="仿宋_GB2312" w:hAnsi="仿宋" w:eastAsia="仿宋_GB2312" w:cs="Arial Unicode MS"/>
                <w:color w:val="000000" w:themeColor="text1"/>
                <w:sz w:val="24"/>
                <w:szCs w:val="24"/>
                <w:lang w:eastAsia="zh-CN"/>
                <w14:textFill>
                  <w14:solidFill>
                    <w14:schemeClr w14:val="tx1"/>
                  </w14:solidFill>
                </w14:textFill>
              </w:rPr>
              <w:t>交易账簿和银行账簿间转换的资本要求</w:t>
            </w:r>
          </w:p>
        </w:tc>
        <w:tc>
          <w:tcPr>
            <w:tcW w:w="2130" w:type="dxa"/>
            <w:tcBorders>
              <w:top w:val="nil"/>
              <w:left w:val="nil"/>
              <w:bottom w:val="single" w:color="auto"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2040" w:type="dxa"/>
            <w:tcBorders>
              <w:top w:val="single" w:color="auto" w:sz="4" w:space="0"/>
              <w:left w:val="single" w:color="auto" w:sz="4" w:space="0"/>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c>
          <w:tcPr>
            <w:tcW w:w="2133"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r>
      <w:tr>
        <w:tblPrEx>
          <w:tblLayout w:type="fixed"/>
          <w:tblCellMar>
            <w:top w:w="0" w:type="dxa"/>
            <w:left w:w="108" w:type="dxa"/>
            <w:bottom w:w="0" w:type="dxa"/>
            <w:right w:w="108" w:type="dxa"/>
          </w:tblCellMar>
        </w:tblPrEx>
        <w:trPr>
          <w:trHeight w:val="330" w:hRule="atLeast"/>
        </w:trPr>
        <w:tc>
          <w:tcPr>
            <w:tcW w:w="478" w:type="dxa"/>
            <w:tcBorders>
              <w:top w:val="nil"/>
              <w:left w:val="single" w:color="000000" w:sz="4" w:space="0"/>
              <w:bottom w:val="single" w:color="000000" w:sz="4" w:space="0"/>
              <w:right w:val="single" w:color="auto" w:sz="4" w:space="0"/>
            </w:tcBorders>
          </w:tcPr>
          <w:p>
            <w:pPr>
              <w:snapToGrid w:val="0"/>
              <w:spacing w:line="480" w:lineRule="exact"/>
              <w:jc w:val="center"/>
              <w:rPr>
                <w:rFonts w:ascii="仿宋_GB2312" w:hAnsi="仿宋" w:eastAsia="仿宋_GB2312" w:cs="Arial Unicode MS"/>
                <w:color w:val="000000" w:themeColor="text1"/>
                <w:sz w:val="24"/>
                <w:szCs w:val="24"/>
                <w14:textFill>
                  <w14:solidFill>
                    <w14:schemeClr w14:val="tx1"/>
                  </w14:solidFill>
                </w14:textFill>
              </w:rPr>
            </w:pPr>
            <w:r>
              <w:rPr>
                <w:rFonts w:ascii="仿宋_GB2312" w:hAnsi="仿宋" w:eastAsia="仿宋_GB2312" w:cs="Arial Unicode MS"/>
                <w:color w:val="000000" w:themeColor="text1"/>
                <w:sz w:val="24"/>
                <w:szCs w:val="24"/>
                <w14:textFill>
                  <w14:solidFill>
                    <w14:schemeClr w14:val="tx1"/>
                  </w14:solidFill>
                </w14:textFill>
              </w:rPr>
              <w:t>5</w:t>
            </w:r>
          </w:p>
        </w:tc>
        <w:tc>
          <w:tcPr>
            <w:tcW w:w="1746" w:type="dxa"/>
            <w:tcBorders>
              <w:top w:val="nil"/>
              <w:left w:val="single" w:color="auto" w:sz="4" w:space="0"/>
              <w:bottom w:val="single" w:color="000000" w:sz="4" w:space="0"/>
              <w:right w:val="single" w:color="auto" w:sz="4" w:space="0"/>
            </w:tcBorders>
            <w:vAlign w:val="center"/>
          </w:tcPr>
          <w:p>
            <w:pPr>
              <w:snapToGrid w:val="0"/>
              <w:spacing w:line="480" w:lineRule="exact"/>
              <w:rPr>
                <w:rFonts w:ascii="仿宋_GB2312" w:hAnsi="仿宋" w:eastAsia="仿宋_GB2312" w:cs="Arial Unicode MS"/>
                <w:b/>
                <w:bCs/>
                <w:color w:val="000000" w:themeColor="text1"/>
                <w:sz w:val="24"/>
                <w:szCs w:val="24"/>
                <w:lang w:eastAsia="zh-CN"/>
                <w14:textFill>
                  <w14:solidFill>
                    <w14:schemeClr w14:val="tx1"/>
                  </w14:solidFill>
                </w14:textFill>
              </w:rPr>
            </w:pPr>
            <w:r>
              <w:rPr>
                <w:rFonts w:hint="eastAsia" w:ascii="仿宋_GB2312" w:hAnsi="仿宋" w:eastAsia="仿宋_GB2312" w:cs="Arial Unicode MS"/>
                <w:b/>
                <w:bCs/>
                <w:color w:val="000000" w:themeColor="text1"/>
                <w:sz w:val="24"/>
                <w:szCs w:val="24"/>
                <w:lang w:eastAsia="zh-CN"/>
                <w14:textFill>
                  <w14:solidFill>
                    <w14:schemeClr w14:val="tx1"/>
                  </w14:solidFill>
                </w14:textFill>
              </w:rPr>
              <w:t>合计</w:t>
            </w:r>
          </w:p>
        </w:tc>
        <w:tc>
          <w:tcPr>
            <w:tcW w:w="2130" w:type="dxa"/>
            <w:tcBorders>
              <w:top w:val="nil"/>
              <w:left w:val="nil"/>
              <w:bottom w:val="single" w:color="000000" w:sz="4" w:space="0"/>
              <w:right w:val="single" w:color="auto"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153505147</w:t>
            </w:r>
          </w:p>
        </w:tc>
        <w:tc>
          <w:tcPr>
            <w:tcW w:w="2040" w:type="dxa"/>
            <w:tcBorders>
              <w:top w:val="single" w:color="auto" w:sz="4" w:space="0"/>
              <w:left w:val="single" w:color="auto" w:sz="4" w:space="0"/>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151887659</w:t>
            </w:r>
          </w:p>
        </w:tc>
        <w:tc>
          <w:tcPr>
            <w:tcW w:w="2133"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ascii="仿宋_GB2312" w:hAnsi="仿宋" w:eastAsia="仿宋_GB2312" w:cs="Arial Unicode M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12280412</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附表四：资本构成</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20"/>
        <w:gridCol w:w="5895"/>
        <w:gridCol w:w="1275"/>
        <w:gridCol w:w="6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6415" w:type="dxa"/>
            <w:gridSpan w:val="2"/>
            <w:vMerge w:val="restart"/>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275"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c>
          <w:tcPr>
            <w:tcW w:w="646" w:type="dxa"/>
            <w:tcBorders>
              <w:top w:val="single" w:color="000000" w:sz="4" w:space="0"/>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6415" w:type="dxa"/>
            <w:gridSpan w:val="2"/>
            <w:vMerge w:val="continue"/>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数额</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实收资本和资本公积可计入部分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4505299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e+g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留存收益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11926503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2a</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盈余公积</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5784476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2b</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一般风险准备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4040718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2c</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未分配利润</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2101309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累计其他综合收益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1009340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3066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扣除前的核心一级资本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2"/>
                <w:szCs w:val="22"/>
                <w:u w:val="none"/>
                <w:lang w:val="en-US" w:eastAsia="zh-CN" w:bidi="ar"/>
              </w:rPr>
              <w:t xml:space="preserve">17444208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核心一级资本：扣除项</w:t>
            </w:r>
            <w:r>
              <w:rPr>
                <w:rStyle w:val="4"/>
                <w:rFonts w:hAnsi="宋体"/>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审慎估值调整</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商誉（扣除递延税负债）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其他无形资产（土地使用权除外）（扣除递延税负债）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 xml:space="preserve">277116 </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依赖未来盈利的由经营亏损引起的净递延税资产</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对未按公允价值计量的项目进行套期形成的现金流储备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损失准备缺口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资产证券化销售利得</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自身信用风险变化导致其负债公允价值变化带来的未实现损益</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确定受益类的养老金资产净额（扣除递延税负债）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直接或间接持有本银行的股票</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银行间或银行与其他金融机构间通过协议相互持有的核心一级资本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对未并表金融机构小额少数资本投资中的核心一级资本中应扣除金额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对未并表金融机构大额少数资本投资中的核心一级资本中应扣除金额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87266</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其他依赖于银行未来盈利的净递延税资产中应扣除金额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对未并表金融机构大额少数资本投资中的核心一级资本和其他依赖于银行未来盈利的净递延税资产的未扣除部分超过核心一级资本15%的应扣除金额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329542</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其中：应在对金融机构大额少数资本投资中扣除的金额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199054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其中：应在其他依赖于银行未来盈利的净递延税资产中扣除的金额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130488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其他应在核心一级资本中扣除的项目合计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应从其他一级资本和二级资本中扣除的未扣缺口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693924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16750284</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其他一级资本工具及其溢价</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其中：权益部分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其中：负债部分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直接或间接持有的本银行其他一级资本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对未并表金融机构小额少数资本投资中的其他一级资本中应扣除金额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对未并表金融机构大额少数资本投资中的其他一级资本中应扣除金额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其他应在其他一级资本中扣除的项目合计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应从二级资本中扣除的未扣缺口</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一级资本净额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16750693</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二级资本工具及其溢价</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1533009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少数股东资本可计入部分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818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超额损失准备可计入部分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1791679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扣除前的二级资本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3325505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直接或间接持有的本银行的二级资本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银行间或银行与其他金融机构间通过协议相互持有的其他一级资本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对未并表金融机构小额少数资本投资中的二级资本中应扣除金额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对未并表金融机构大额少数资本投资中的二级资本</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其他应在二级资本中扣除的项目合计</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二级资本扣除项总和</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二级资本净额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3325505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总资本净额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20076198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风险加权资产</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153505147</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核心一级资本充足率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10.91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10.91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13.08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其他各级资本要求（%）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2.50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其中：储备资本要求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2.50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59</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其中：逆周期资本要求</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right"/>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60</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其中：全球系统重要性银行或国内系统重要性银行附加资本要求</w:t>
            </w:r>
          </w:p>
        </w:tc>
        <w:tc>
          <w:tcPr>
            <w:tcW w:w="1275" w:type="dxa"/>
            <w:tcBorders>
              <w:top w:val="nil"/>
              <w:left w:val="nil"/>
              <w:bottom w:val="single" w:color="000000" w:sz="8" w:space="0"/>
              <w:right w:val="single" w:color="000000" w:sz="8" w:space="0"/>
            </w:tcBorders>
            <w:shd w:val="clear" w:color="auto" w:fill="BEBEBE"/>
            <w:tcMar>
              <w:top w:w="15" w:type="dxa"/>
              <w:left w:w="15" w:type="dxa"/>
              <w:right w:w="15" w:type="dxa"/>
            </w:tcMar>
            <w:vAlign w:val="center"/>
          </w:tcPr>
          <w:p>
            <w:pPr>
              <w:jc w:val="right"/>
              <w:rPr>
                <w:rFonts w:hint="default" w:ascii="Arial" w:hAnsi="Arial" w:eastAsia="宋体" w:cs="Arial"/>
                <w:i w:val="0"/>
                <w:color w:val="000000"/>
                <w:sz w:val="24"/>
                <w:szCs w:val="24"/>
                <w:u w:val="none"/>
              </w:rPr>
            </w:pP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61</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满足最低资本要求后的可用核心一级资本净额占风险加权资产的比例（%）</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5.91</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62</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核心一级资本充足率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63</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一级资本充足率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64</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资本充足率</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65</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对未并表金融机构的小额少数资本投资中未扣除部分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302923</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66</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对未并表金融机构的大额少数资本投资中未扣除部分</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1716709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67</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其他依赖于银行未来盈利的净递延税资产（扣除递延税负债）</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4"/>
            <w:tcBorders>
              <w:top w:val="nil"/>
              <w:left w:val="single" w:color="000000" w:sz="4" w:space="0"/>
              <w:bottom w:val="single" w:color="000000" w:sz="8"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可计入二级资本的超额损失准备的限额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68</w:t>
            </w:r>
          </w:p>
        </w:tc>
        <w:tc>
          <w:tcPr>
            <w:tcW w:w="5895"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权重法下，实际计提的超额损失准备金额</w:t>
            </w:r>
          </w:p>
        </w:tc>
        <w:tc>
          <w:tcPr>
            <w:tcW w:w="1275"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4609959</w:t>
            </w:r>
          </w:p>
        </w:tc>
        <w:tc>
          <w:tcPr>
            <w:tcW w:w="646" w:type="dxa"/>
            <w:tcBorders>
              <w:top w:val="nil"/>
              <w:left w:val="nil"/>
              <w:bottom w:val="single" w:color="000000" w:sz="8"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0"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69</w:t>
            </w:r>
          </w:p>
        </w:tc>
        <w:tc>
          <w:tcPr>
            <w:tcW w:w="5895" w:type="dxa"/>
            <w:tcBorders>
              <w:top w:val="nil"/>
              <w:left w:val="nil"/>
              <w:bottom w:val="single" w:color="000000" w:sz="4"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权重法下，可计入二级资本超额损失准备的数额</w:t>
            </w:r>
          </w:p>
        </w:tc>
        <w:tc>
          <w:tcPr>
            <w:tcW w:w="1275"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1791679</w:t>
            </w:r>
          </w:p>
        </w:tc>
        <w:tc>
          <w:tcPr>
            <w:tcW w:w="64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仿宋_GB2312" w:hAnsi="宋体" w:eastAsia="仿宋_GB2312" w:cs="仿宋_GB2312"/>
                <w:i w:val="0"/>
                <w:color w:val="000000"/>
                <w:sz w:val="24"/>
                <w:szCs w:val="24"/>
                <w:u w:val="none"/>
              </w:rPr>
            </w:pP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附表五：集团财务并表和监管并表下的资产负债表差异</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72"/>
        <w:gridCol w:w="3370"/>
        <w:gridCol w:w="1911"/>
        <w:gridCol w:w="1911"/>
        <w:gridCol w:w="5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3942" w:type="dxa"/>
            <w:gridSpan w:val="2"/>
            <w:tcBorders>
              <w:top w:val="single" w:color="000000" w:sz="4" w:space="0"/>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911"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c>
          <w:tcPr>
            <w:tcW w:w="1911" w:type="dxa"/>
            <w:tcBorders>
              <w:top w:val="single" w:color="000000" w:sz="4" w:space="0"/>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c>
          <w:tcPr>
            <w:tcW w:w="572" w:type="dxa"/>
            <w:tcBorders>
              <w:top w:val="single" w:color="000000" w:sz="4" w:space="0"/>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3942" w:type="dxa"/>
            <w:gridSpan w:val="2"/>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财务并表范围下的资产负债表</w:t>
            </w:r>
          </w:p>
        </w:tc>
        <w:tc>
          <w:tcPr>
            <w:tcW w:w="1911" w:type="dxa"/>
            <w:tcBorders>
              <w:top w:val="nil"/>
              <w:left w:val="nil"/>
              <w:bottom w:val="single" w:color="000000" w:sz="8" w:space="0"/>
              <w:right w:val="single" w:color="000000" w:sz="8" w:space="0"/>
            </w:tcBorders>
            <w:shd w:val="clear" w:color="auto" w:fill="auto"/>
            <w:noWrap/>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监管并表范围下的资产负债表</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现金及存放中央银行款项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10733802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10711169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存放同业款项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2245289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2244168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贵金属</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拆出资金</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5117896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5113913</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衍生金融资产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160743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136444</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买入返售金融资产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持有待售资产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其他应收款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148041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发放贷款和垫款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124850814</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129378713</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金融投资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65339577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64518363</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其中：交易性金融资产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11007402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11003908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其中：债权投资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26839012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26413851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其中：其他债权投资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26895468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26601504</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其中：其他权益工具投资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597695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499100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长期股权投资</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1680360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1530475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投资性房地产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20832</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固定资产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1364386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1369471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在建工程</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86859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109728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使用权资产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78149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170789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商誉</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无形资产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406947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381698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其中：其他无形资产（土地使用权除外）</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277116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长期待摊费用</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33112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抵债资产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递延所得税资产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1275891</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1271748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其他资产</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625555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1093048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减：各项资产减值损失准备</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-4755443</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28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资产合计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213987100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213455434</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负债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向中央银行借款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3042744</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同业及其他金融机构存放款项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90819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88031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拆入资金</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3001850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3000000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交易性金融负债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159846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159846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衍生金融负债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127087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123181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卖出回购金融资产款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7275388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10314081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吸收存款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170249035</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165757425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应付债券</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10573401</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10573401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应付职工薪酬</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398187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487270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应交税费</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155067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118502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持有待售负债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其他应付款</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222450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租赁负债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69967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146372</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其中：与商誉相关的递延所得税负债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其中：与无形资产相关的递延所得税负债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预计负债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204050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368997</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其他负债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583959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4641105</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47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负债合计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195931400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196000661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8336" w:type="dxa"/>
            <w:gridSpan w:val="5"/>
            <w:tcBorders>
              <w:top w:val="nil"/>
              <w:left w:val="single" w:color="000000" w:sz="4" w:space="0"/>
              <w:bottom w:val="single" w:color="000000" w:sz="8" w:space="0"/>
              <w:right w:val="single" w:color="000000" w:sz="4" w:space="0"/>
            </w:tcBorders>
            <w:shd w:val="clear" w:color="auto" w:fill="A6A6A6"/>
            <w:tcMar>
              <w:top w:w="15" w:type="dxa"/>
              <w:left w:w="15" w:type="dxa"/>
              <w:right w:w="15" w:type="dxa"/>
            </w:tcMar>
            <w:vAlign w:val="center"/>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所有者权益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实收资本（或股本）</w:t>
            </w:r>
          </w:p>
        </w:tc>
        <w:tc>
          <w:tcPr>
            <w:tcW w:w="1911" w:type="dxa"/>
            <w:tcBorders>
              <w:top w:val="nil"/>
              <w:left w:val="nil"/>
              <w:bottom w:val="single" w:color="000000" w:sz="8" w:space="0"/>
              <w:right w:val="single" w:color="000000" w:sz="8" w:space="0"/>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1835037</w:t>
            </w:r>
          </w:p>
        </w:tc>
        <w:tc>
          <w:tcPr>
            <w:tcW w:w="1911" w:type="dxa"/>
            <w:tcBorders>
              <w:top w:val="nil"/>
              <w:left w:val="nil"/>
              <w:bottom w:val="single" w:color="000000" w:sz="8" w:space="0"/>
              <w:right w:val="single" w:color="000000" w:sz="8" w:space="0"/>
            </w:tcBorders>
            <w:shd w:val="clear" w:color="auto" w:fill="FFFFFF"/>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1835038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其中：可计入核心一级资本的数额</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1835037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1835038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50</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其中：可计入其他一级资本的数额</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51</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其他权益工具</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52</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ind w:firstLineChars="10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其中：优先股</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53</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        永续债</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rPr>
                <w:rFonts w:hint="default" w:ascii="Arial" w:hAnsi="Arial" w:eastAsia="宋体" w:cs="Arial"/>
                <w:i w:val="0"/>
                <w:color w:val="000000"/>
                <w:sz w:val="24"/>
                <w:szCs w:val="24"/>
                <w:u w:val="none"/>
              </w:rPr>
            </w:pP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54</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资本公积</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2602087</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2670261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55</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其他综合收益</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967248</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1009340</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jc w:val="cente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56</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盈余公积</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5979150</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5784476</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57</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一般风险准备</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4061046</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4040718</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58</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未分配利润</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2597273</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2101309</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j</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59</w:t>
            </w:r>
          </w:p>
        </w:tc>
        <w:tc>
          <w:tcPr>
            <w:tcW w:w="3370"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少数股东权益</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13859</w:t>
            </w:r>
          </w:p>
        </w:tc>
        <w:tc>
          <w:tcPr>
            <w:tcW w:w="1911" w:type="dxa"/>
            <w:tcBorders>
              <w:top w:val="nil"/>
              <w:left w:val="nil"/>
              <w:bottom w:val="single" w:color="000000" w:sz="8"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13631</w:t>
            </w:r>
          </w:p>
        </w:tc>
        <w:tc>
          <w:tcPr>
            <w:tcW w:w="572" w:type="dxa"/>
            <w:tcBorders>
              <w:top w:val="nil"/>
              <w:left w:val="nil"/>
              <w:bottom w:val="single" w:color="000000" w:sz="8"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72"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60</w:t>
            </w:r>
          </w:p>
        </w:tc>
        <w:tc>
          <w:tcPr>
            <w:tcW w:w="3370"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left"/>
              <w:textAlignment w:val="bottom"/>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所有者权益合计</w:t>
            </w:r>
          </w:p>
        </w:tc>
        <w:tc>
          <w:tcPr>
            <w:tcW w:w="1911"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18055700</w:t>
            </w:r>
          </w:p>
        </w:tc>
        <w:tc>
          <w:tcPr>
            <w:tcW w:w="1911" w:type="dxa"/>
            <w:tcBorders>
              <w:top w:val="nil"/>
              <w:left w:val="nil"/>
              <w:bottom w:val="single" w:color="000000" w:sz="4" w:space="0"/>
              <w:right w:val="single" w:color="000000" w:sz="8" w:space="0"/>
            </w:tcBorders>
            <w:shd w:val="clear" w:color="auto" w:fill="auto"/>
            <w:tcMar>
              <w:top w:w="15" w:type="dxa"/>
              <w:left w:w="15" w:type="dxa"/>
              <w:right w:w="15" w:type="dxa"/>
            </w:tcMar>
            <w:vAlign w:val="bottom"/>
          </w:tcPr>
          <w:p>
            <w:pPr>
              <w:keepNext w:val="0"/>
              <w:keepLines w:val="0"/>
              <w:widowControl/>
              <w:suppressLineNumbers w:val="0"/>
              <w:jc w:val="right"/>
              <w:textAlignment w:val="bottom"/>
              <w:rPr>
                <w:rFonts w:hint="default" w:ascii="Arial" w:hAnsi="Arial" w:eastAsia="宋体" w:cs="Arial"/>
                <w:i w:val="0"/>
                <w:color w:val="000000"/>
                <w:sz w:val="24"/>
                <w:szCs w:val="24"/>
                <w:u w:val="none"/>
              </w:rPr>
            </w:pPr>
            <w:r>
              <w:rPr>
                <w:rFonts w:hint="default" w:ascii="Arial" w:hAnsi="Arial" w:eastAsia="宋体" w:cs="Arial"/>
                <w:i w:val="0"/>
                <w:color w:val="000000"/>
                <w:kern w:val="0"/>
                <w:sz w:val="24"/>
                <w:szCs w:val="24"/>
                <w:u w:val="none"/>
                <w:lang w:val="en-US" w:eastAsia="zh-CN" w:bidi="ar"/>
              </w:rPr>
              <w:t>17454773</w:t>
            </w:r>
          </w:p>
        </w:tc>
        <w:tc>
          <w:tcPr>
            <w:tcW w:w="572" w:type="dxa"/>
            <w:tcBorders>
              <w:top w:val="nil"/>
              <w:left w:val="nil"/>
              <w:bottom w:val="single" w:color="000000" w:sz="4" w:space="0"/>
              <w:right w:val="single" w:color="000000" w:sz="4" w:space="0"/>
            </w:tcBorders>
            <w:shd w:val="clear" w:color="auto" w:fill="auto"/>
            <w:tcMar>
              <w:top w:w="15" w:type="dxa"/>
              <w:left w:w="15" w:type="dxa"/>
              <w:right w:w="15" w:type="dxa"/>
            </w:tcMar>
            <w:vAlign w:val="bottom"/>
          </w:tcPr>
          <w:p>
            <w:pPr>
              <w:rPr>
                <w:rFonts w:hint="eastAsia" w:ascii="仿宋_GB2312" w:hAnsi="宋体" w:eastAsia="仿宋_GB2312" w:cs="仿宋_GB2312"/>
                <w:i w:val="0"/>
                <w:color w:val="000000"/>
                <w:sz w:val="24"/>
                <w:szCs w:val="24"/>
                <w:u w:val="none"/>
              </w:rPr>
            </w:pP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附表六：LR1杠杆率监管项目与相关会计项目的差异</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476"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559"/>
        <w:gridCol w:w="5985"/>
        <w:gridCol w:w="1932"/>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6544" w:type="dxa"/>
            <w:gridSpan w:val="2"/>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b/>
                <w:bCs/>
                <w:color w:val="000000" w:themeColor="text1"/>
                <w:sz w:val="24"/>
                <w:szCs w:val="24"/>
                <w:lang w:eastAsia="zh-CN"/>
                <w14:textFill>
                  <w14:solidFill>
                    <w14:schemeClr w14:val="tx1"/>
                  </w14:solidFill>
                </w14:textFill>
              </w:rPr>
            </w:pPr>
          </w:p>
        </w:tc>
        <w:tc>
          <w:tcPr>
            <w:tcW w:w="1932" w:type="dxa"/>
            <w:tcBorders>
              <w:top w:val="single" w:color="000000" w:sz="4" w:space="0"/>
              <w:left w:val="nil"/>
              <w:bottom w:val="single" w:color="auto" w:sz="4" w:space="0"/>
              <w:right w:val="single" w:color="000000" w:sz="4" w:space="0"/>
            </w:tcBorders>
            <w:vAlign w:val="bottom"/>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sz w:val="24"/>
                <w:szCs w:val="24"/>
                <w14:textFill>
                  <w14:solidFill>
                    <w14:schemeClr w14:val="tx1"/>
                  </w14:solidFill>
                </w14:textFill>
              </w:rPr>
              <w:t>a</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并表总资产</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213987100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并表调整项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-531666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7"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客户资产调整项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衍生工具调整项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171738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4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5985" w:type="dxa"/>
            <w:tcBorders>
              <w:top w:val="nil"/>
              <w:left w:val="nil"/>
              <w:bottom w:val="single" w:color="auto" w:sz="4" w:space="0"/>
              <w:right w:val="single" w:color="auto" w:sz="4" w:space="0"/>
            </w:tcBorders>
          </w:tcPr>
          <w:p>
            <w:pPr>
              <w:snapToGrid w:val="0"/>
              <w:spacing w:line="480" w:lineRule="exact"/>
              <w:rPr>
                <w:rFonts w:ascii="仿宋_GB2312" w:eastAsia="仿宋_GB2312" w:cs="Segoe UI"/>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证券融资交易调整项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369891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5985" w:type="dxa"/>
            <w:tcBorders>
              <w:top w:val="nil"/>
              <w:left w:val="nil"/>
              <w:bottom w:val="single" w:color="auto" w:sz="4" w:space="0"/>
              <w:right w:val="single" w:color="auto" w:sz="4" w:space="0"/>
            </w:tcBorders>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表外项目调整项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36879205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资产证券化交易调整项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未结算金融资产调整项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04"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现金池调整项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63"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存款准备金调整项（如有）</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lang w:eastAsia="zh-CN"/>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Segoe UI"/>
                <w:color w:val="000000" w:themeColor="text1"/>
                <w:sz w:val="24"/>
                <w:szCs w:val="24"/>
                <w:lang w:eastAsia="zh-CN"/>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审慎估值和减值准备调整项</w:t>
            </w:r>
          </w:p>
        </w:tc>
        <w:tc>
          <w:tcPr>
            <w:tcW w:w="1932" w:type="dxa"/>
            <w:tcBorders>
              <w:top w:val="nil"/>
              <w:left w:val="nil"/>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-1000459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9" w:hRule="atLeast"/>
        </w:trPr>
        <w:tc>
          <w:tcPr>
            <w:tcW w:w="55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12</w:t>
            </w:r>
          </w:p>
        </w:tc>
        <w:tc>
          <w:tcPr>
            <w:tcW w:w="5985"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eastAsia="仿宋_GB2312" w:cs="Segoe UI"/>
                <w:color w:val="000000" w:themeColor="text1"/>
                <w:kern w:val="2"/>
                <w:sz w:val="24"/>
                <w:szCs w:val="24"/>
                <w:lang w:eastAsia="zh-CN"/>
                <w14:textFill>
                  <w14:solidFill>
                    <w14:schemeClr w14:val="tx1"/>
                  </w14:solidFill>
                </w14:textFill>
              </w:rPr>
              <w:t>其他调整项</w:t>
            </w:r>
          </w:p>
        </w:tc>
        <w:tc>
          <w:tcPr>
            <w:tcW w:w="1932" w:type="dxa"/>
            <w:tcBorders>
              <w:top w:val="nil"/>
              <w:left w:val="nil"/>
              <w:bottom w:val="single" w:color="auto" w:sz="4" w:space="0"/>
              <w:right w:val="single" w:color="000000" w:sz="4" w:space="0"/>
            </w:tcBorders>
            <w:vAlign w:val="bottom"/>
          </w:tcPr>
          <w:p>
            <w:pPr>
              <w:rPr>
                <w:rFonts w:hint="default" w:ascii="Arial" w:hAnsi="Arial" w:eastAsia="仿宋_GB2312" w:cs="Arial"/>
                <w:color w:val="000000" w:themeColor="text1"/>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12" w:hRule="atLeast"/>
        </w:trPr>
        <w:tc>
          <w:tcPr>
            <w:tcW w:w="559" w:type="dxa"/>
            <w:tcBorders>
              <w:top w:val="nil"/>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b/>
                <w:bCs/>
                <w:color w:val="000000" w:themeColor="text1"/>
                <w:sz w:val="24"/>
                <w:szCs w:val="24"/>
                <w14:textFill>
                  <w14:solidFill>
                    <w14:schemeClr w14:val="tx1"/>
                  </w14:solidFill>
                </w14:textFill>
              </w:rPr>
            </w:pPr>
            <w:r>
              <w:rPr>
                <w:rFonts w:ascii="仿宋_GB2312" w:hAnsi="宋体" w:eastAsia="仿宋_GB2312" w:cs="宋体"/>
                <w:b/>
                <w:bCs/>
                <w:color w:val="000000" w:themeColor="text1"/>
                <w:sz w:val="24"/>
                <w:szCs w:val="24"/>
                <w:lang w:eastAsia="zh-CN"/>
                <w14:textFill>
                  <w14:solidFill>
                    <w14:schemeClr w14:val="tx1"/>
                  </w14:solidFill>
                </w14:textFill>
              </w:rPr>
              <w:t>13</w:t>
            </w:r>
          </w:p>
        </w:tc>
        <w:tc>
          <w:tcPr>
            <w:tcW w:w="5985" w:type="dxa"/>
            <w:tcBorders>
              <w:top w:val="nil"/>
              <w:left w:val="nil"/>
              <w:bottom w:val="single" w:color="000000" w:sz="4" w:space="0"/>
              <w:right w:val="single" w:color="auto" w:sz="4" w:space="0"/>
            </w:tcBorders>
            <w:vAlign w:val="center"/>
          </w:tcPr>
          <w:p>
            <w:pPr>
              <w:snapToGrid w:val="0"/>
              <w:spacing w:line="480" w:lineRule="exact"/>
              <w:rPr>
                <w:rFonts w:ascii="仿宋_GB2312" w:eastAsia="仿宋_GB2312" w:cs="宋体"/>
                <w:b/>
                <w:bCs/>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sz w:val="24"/>
                <w:szCs w:val="24"/>
                <w:lang w:eastAsia="zh-CN"/>
                <w14:textFill>
                  <w14:solidFill>
                    <w14:schemeClr w14:val="tx1"/>
                  </w14:solidFill>
                </w14:textFill>
              </w:rPr>
              <w:t>调整后表内外资产余额</w:t>
            </w:r>
          </w:p>
        </w:tc>
        <w:tc>
          <w:tcPr>
            <w:tcW w:w="1932" w:type="dxa"/>
            <w:tcBorders>
              <w:top w:val="nil"/>
              <w:left w:val="nil"/>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仿宋_GB2312" w:cs="Arial"/>
                <w:b/>
                <w:bCs/>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249875809</w:t>
            </w:r>
          </w:p>
        </w:tc>
      </w:tr>
    </w:tbl>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p>
    <w:p>
      <w:pPr>
        <w:snapToGrid w:val="0"/>
        <w:spacing w:line="480" w:lineRule="exac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附表七：LR2杠杆率</w:t>
      </w:r>
    </w:p>
    <w:p>
      <w:pPr>
        <w:snapToGrid w:val="0"/>
        <w:spacing w:line="480" w:lineRule="exact"/>
        <w:jc w:val="right"/>
        <w:outlineLvl w:val="1"/>
        <w:rPr>
          <w:rFonts w:hint="eastAsia" w:ascii="楷体" w:hAnsi="楷体" w:eastAsia="楷体" w:cs="楷体"/>
          <w:color w:val="000000" w:themeColor="text1"/>
          <w:sz w:val="30"/>
          <w:szCs w:val="30"/>
          <w:lang w:eastAsia="zh-CN"/>
          <w14:textFill>
            <w14:solidFill>
              <w14:schemeClr w14:val="tx1"/>
            </w14:solidFill>
          </w14:textFill>
        </w:rPr>
      </w:pPr>
      <w:r>
        <w:rPr>
          <w:rFonts w:hint="eastAsia" w:ascii="楷体" w:hAnsi="楷体" w:eastAsia="楷体" w:cs="楷体"/>
          <w:color w:val="000000" w:themeColor="text1"/>
          <w:sz w:val="30"/>
          <w:szCs w:val="30"/>
          <w:lang w:eastAsia="zh-CN"/>
          <w14:textFill>
            <w14:solidFill>
              <w14:schemeClr w14:val="tx1"/>
            </w14:solidFill>
          </w14:textFill>
        </w:rPr>
        <w:t>单位：千元</w:t>
      </w:r>
    </w:p>
    <w:tbl>
      <w:tblPr>
        <w:tblStyle w:val="2"/>
        <w:tblW w:w="8522"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719"/>
        <w:gridCol w:w="4786"/>
        <w:gridCol w:w="1508"/>
        <w:gridCol w:w="2"/>
        <w:gridCol w:w="1507"/>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5505" w:type="dxa"/>
            <w:gridSpan w:val="2"/>
            <w:vMerge w:val="restart"/>
            <w:tcBorders>
              <w:top w:val="single" w:color="000000" w:sz="4" w:space="0"/>
              <w:left w:val="single" w:color="000000" w:sz="4" w:space="0"/>
              <w:bottom w:val="single" w:color="auto" w:sz="4" w:space="0"/>
              <w:right w:val="single" w:color="auto" w:sz="4" w:space="0"/>
            </w:tcBorders>
            <w:vAlign w:val="bottom"/>
          </w:tcPr>
          <w:p>
            <w:pPr>
              <w:snapToGrid w:val="0"/>
              <w:spacing w:line="480" w:lineRule="exact"/>
              <w:jc w:val="center"/>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　</w:t>
            </w:r>
          </w:p>
        </w:tc>
        <w:tc>
          <w:tcPr>
            <w:tcW w:w="1508" w:type="dxa"/>
            <w:tcBorders>
              <w:top w:val="single" w:color="000000" w:sz="4" w:space="0"/>
              <w:left w:val="nil"/>
              <w:bottom w:val="single" w:color="auto" w:sz="4" w:space="0"/>
              <w:right w:val="single" w:color="auto" w:sz="4" w:space="0"/>
            </w:tcBorders>
            <w:vAlign w:val="bottom"/>
          </w:tcPr>
          <w:p>
            <w:pPr>
              <w:snapToGrid w:val="0"/>
              <w:spacing w:line="480" w:lineRule="exact"/>
              <w:jc w:val="center"/>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sz w:val="24"/>
                <w:szCs w:val="24"/>
                <w:lang w:eastAsia="zh-CN"/>
                <w14:textFill>
                  <w14:solidFill>
                    <w14:schemeClr w14:val="tx1"/>
                  </w14:solidFill>
                </w14:textFill>
              </w:rPr>
              <w:t>a</w:t>
            </w:r>
          </w:p>
        </w:tc>
        <w:tc>
          <w:tcPr>
            <w:tcW w:w="1509" w:type="dxa"/>
            <w:gridSpan w:val="2"/>
            <w:tcBorders>
              <w:top w:val="single" w:color="000000"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sz w:val="24"/>
                <w:szCs w:val="24"/>
                <w:lang w:val="en-US" w:eastAsia="zh-CN"/>
                <w14:textFill>
                  <w14:solidFill>
                    <w14:schemeClr w14:val="tx1"/>
                  </w14:solidFill>
                </w14:textFill>
              </w:rPr>
              <w:t>b</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5505" w:type="dxa"/>
            <w:gridSpan w:val="2"/>
            <w:vMerge w:val="continue"/>
            <w:tcBorders>
              <w:top w:val="single" w:color="auto" w:sz="4" w:space="0"/>
              <w:left w:val="single" w:color="000000" w:sz="4" w:space="0"/>
              <w:bottom w:val="single" w:color="auto" w:sz="4" w:space="0"/>
              <w:right w:val="single" w:color="auto" w:sz="4" w:space="0"/>
            </w:tcBorders>
            <w:vAlign w:val="center"/>
          </w:tcPr>
          <w:p>
            <w:pPr>
              <w:spacing w:line="480" w:lineRule="exact"/>
              <w:rPr>
                <w:rFonts w:ascii="仿宋_GB2312" w:eastAsia="仿宋_GB2312" w:cs="宋体"/>
                <w:color w:val="000000" w:themeColor="text1"/>
                <w:sz w:val="24"/>
                <w:szCs w:val="24"/>
                <w:lang w:eastAsia="zh-CN"/>
                <w14:textFill>
                  <w14:solidFill>
                    <w14:schemeClr w14:val="tx1"/>
                  </w14:solidFill>
                </w14:textFill>
              </w:rPr>
            </w:pPr>
          </w:p>
        </w:tc>
        <w:tc>
          <w:tcPr>
            <w:tcW w:w="1508" w:type="dxa"/>
            <w:tcBorders>
              <w:top w:val="nil"/>
              <w:left w:val="nil"/>
              <w:bottom w:val="single" w:color="auto" w:sz="4" w:space="0"/>
              <w:right w:val="single" w:color="auto" w:sz="4" w:space="0"/>
            </w:tcBorders>
            <w:vAlign w:val="bottom"/>
          </w:tcPr>
          <w:p>
            <w:pPr>
              <w:snapToGrid w:val="0"/>
              <w:spacing w:line="480" w:lineRule="exact"/>
              <w:jc w:val="center"/>
              <w:rPr>
                <w:rFonts w:hint="default" w:ascii="仿宋_GB2312" w:hAnsi="宋体" w:eastAsia="仿宋_GB2312" w:cs="宋体"/>
                <w:color w:val="000000" w:themeColor="text1"/>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2024年12月31日</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snapToGrid w:val="0"/>
              <w:spacing w:line="480" w:lineRule="exact"/>
              <w:jc w:val="center"/>
              <w:rPr>
                <w:rFonts w:hint="default" w:ascii="仿宋_GB2312" w:hAnsi="宋体" w:eastAsia="仿宋_GB2312" w:cs="宋体"/>
                <w:color w:val="000000" w:themeColor="text1"/>
                <w:kern w:val="2"/>
                <w:sz w:val="24"/>
                <w:szCs w:val="24"/>
                <w:lang w:val="en-US" w:eastAsia="zh-CN"/>
                <w14:textFill>
                  <w14:solidFill>
                    <w14:schemeClr w14:val="tx1"/>
                  </w14:solidFill>
                </w14:textFill>
              </w:rPr>
            </w:pPr>
            <w:r>
              <w:rPr>
                <w:rFonts w:hint="eastAsia" w:ascii="仿宋_GB2312" w:hAnsi="宋体" w:eastAsia="仿宋_GB2312" w:cs="宋体"/>
                <w:color w:val="000000" w:themeColor="text1"/>
                <w:kern w:val="2"/>
                <w:sz w:val="24"/>
                <w:szCs w:val="24"/>
                <w:lang w:val="en-US" w:eastAsia="zh-CN"/>
                <w14:textFill>
                  <w14:solidFill>
                    <w14:schemeClr w14:val="tx1"/>
                  </w14:solidFill>
                </w14:textFill>
              </w:rPr>
              <w:t>2024年9月30日</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36" w:hRule="atLeast"/>
        </w:trPr>
        <w:tc>
          <w:tcPr>
            <w:tcW w:w="7015" w:type="dxa"/>
            <w:gridSpan w:val="4"/>
            <w:tcBorders>
              <w:top w:val="single" w:color="auto" w:sz="4" w:space="0"/>
              <w:left w:val="single" w:color="000000" w:sz="4" w:space="0"/>
              <w:bottom w:val="single" w:color="auto" w:sz="4" w:space="0"/>
              <w:right w:val="single" w:color="auto" w:sz="4" w:space="0"/>
            </w:tcBorders>
            <w:shd w:val="clear" w:color="auto" w:fill="A6A6A6"/>
            <w:vAlign w:val="bottom"/>
          </w:tcPr>
          <w:p>
            <w:pPr>
              <w:snapToGrid w:val="0"/>
              <w:spacing w:line="480" w:lineRule="exact"/>
              <w:rPr>
                <w:rFonts w:ascii="仿宋_GB2312" w:eastAsia="仿宋_GB2312" w:cs="宋体"/>
                <w:b/>
                <w:color w:val="000000" w:themeColor="text1"/>
                <w:sz w:val="24"/>
                <w:szCs w:val="24"/>
                <w14:textFill>
                  <w14:solidFill>
                    <w14:schemeClr w14:val="tx1"/>
                  </w14:solidFill>
                </w14:textFill>
              </w:rPr>
            </w:pPr>
            <w:r>
              <w:rPr>
                <w:rFonts w:hint="eastAsia" w:ascii="仿宋_GB2312" w:hAnsi="宋体" w:eastAsia="仿宋_GB2312" w:cs="宋体"/>
                <w:b/>
                <w:color w:val="000000" w:themeColor="text1"/>
                <w:kern w:val="2"/>
                <w:sz w:val="24"/>
                <w:szCs w:val="24"/>
                <w14:textFill>
                  <w14:solidFill>
                    <w14:schemeClr w14:val="tx1"/>
                  </w14:solidFill>
                </w14:textFill>
              </w:rPr>
              <w:t>表内资产余额</w:t>
            </w:r>
          </w:p>
        </w:tc>
        <w:tc>
          <w:tcPr>
            <w:tcW w:w="1507" w:type="dxa"/>
            <w:tcBorders>
              <w:top w:val="single" w:color="auto" w:sz="4" w:space="0"/>
              <w:left w:val="single" w:color="auto" w:sz="4" w:space="0"/>
              <w:bottom w:val="single" w:color="auto" w:sz="4" w:space="0"/>
              <w:right w:val="single" w:color="000000" w:sz="4" w:space="0"/>
            </w:tcBorders>
            <w:shd w:val="clear" w:color="auto" w:fill="A6A6A6"/>
            <w:vAlign w:val="bottom"/>
          </w:tcPr>
          <w:p>
            <w:pPr>
              <w:snapToGrid w:val="0"/>
              <w:spacing w:line="480" w:lineRule="exact"/>
              <w:rPr>
                <w:rFonts w:hint="eastAsia" w:ascii="仿宋_GB2312" w:hAnsi="宋体" w:eastAsia="仿宋_GB2312" w:cs="宋体"/>
                <w:b/>
                <w:color w:val="000000" w:themeColor="text1"/>
                <w:kern w:val="2"/>
                <w:sz w:val="24"/>
                <w:szCs w:val="24"/>
                <w14:textFill>
                  <w14:solidFill>
                    <w14:schemeClr w14:val="tx1"/>
                  </w14:solidFill>
                </w14:textFill>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83"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表内资产（除衍生工具和证券融资交易外）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218074434</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211499388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-4755443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-4665381</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46"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减：一级资本扣除项</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-693924</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-806703</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调整后的表内资产余额（衍生工具和证券融资交易除外）</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212625067</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206027304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的重置成本（扣除合格保证金，考虑双边净额结算协议的影响）</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136443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124296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77"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各类衍生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的潜在风险暴露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171738</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160809</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83"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已从资产负债表中扣除的抵质押品总和</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2"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减：因提供合格保证金形成的应收资产</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564"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9</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减：为客户提供清算服务时与中央交易对手交易形成的衍生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10</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的名义本金</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99" w:hRule="atLeast"/>
        </w:trPr>
        <w:tc>
          <w:tcPr>
            <w:tcW w:w="719" w:type="dxa"/>
            <w:tcBorders>
              <w:top w:val="nil"/>
              <w:left w:val="single" w:color="000000" w:sz="4" w:space="0"/>
              <w:bottom w:val="single" w:color="auto" w:sz="4" w:space="0"/>
              <w:right w:val="single" w:color="auto" w:sz="4" w:space="0"/>
            </w:tcBorders>
            <w:vAlign w:val="center"/>
          </w:tcPr>
          <w:p>
            <w:pPr>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11</w:t>
            </w:r>
          </w:p>
        </w:tc>
        <w:tc>
          <w:tcPr>
            <w:tcW w:w="4786" w:type="dxa"/>
            <w:tcBorders>
              <w:top w:val="nil"/>
              <w:left w:val="nil"/>
              <w:bottom w:val="single" w:color="auto" w:sz="4" w:space="0"/>
              <w:right w:val="single" w:color="auto" w:sz="4" w:space="0"/>
            </w:tcBorders>
            <w:vAlign w:val="center"/>
          </w:tcPr>
          <w:p>
            <w:pPr>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减：可扣除的卖出信用衍生</w:t>
            </w:r>
            <w:r>
              <w:rPr>
                <w:rFonts w:hint="eastAsia" w:ascii="仿宋_GB2312" w:hAnsi="宋体" w:eastAsia="仿宋_GB2312" w:cs="宋体"/>
                <w:bCs/>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衍生</w:t>
            </w:r>
            <w:r>
              <w:rPr>
                <w:rFonts w:hint="eastAsia" w:ascii="仿宋_GB2312" w:hAnsi="宋体" w:eastAsia="仿宋_GB2312" w:cs="宋体"/>
                <w:b/>
                <w:color w:val="000000" w:themeColor="text1"/>
                <w:kern w:val="2"/>
                <w:sz w:val="24"/>
                <w:szCs w:val="24"/>
                <w:lang w:eastAsia="zh-CN"/>
                <w14:textFill>
                  <w14:solidFill>
                    <w14:schemeClr w14:val="tx1"/>
                  </w14:solidFill>
                </w14:textFill>
              </w:rPr>
              <w:t>工具</w:t>
            </w:r>
            <w:r>
              <w:rPr>
                <w:rFonts w:hint="eastAsia" w:ascii="仿宋_GB2312" w:hAnsi="宋体" w:eastAsia="仿宋_GB2312" w:cs="宋体"/>
                <w:b/>
                <w:bCs/>
                <w:color w:val="000000" w:themeColor="text1"/>
                <w:kern w:val="2"/>
                <w:sz w:val="24"/>
                <w:szCs w:val="24"/>
                <w:lang w:eastAsia="zh-CN"/>
                <w14:textFill>
                  <w14:solidFill>
                    <w14:schemeClr w14:val="tx1"/>
                  </w14:solidFill>
                </w14:textFill>
              </w:rPr>
              <w:t>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308182</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285105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证券融资交易的会计资产余额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2498050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减：可以扣除的证券融资交易资产余额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证券融资交易的交易对手信用风险暴露</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369891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95510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6</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kern w:val="2"/>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代理证券融资交易形成的证券融资交易资产余额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7</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证券融资交易资产余额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369891</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2593560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1</w:t>
            </w:r>
            <w:r>
              <w:rPr>
                <w:rFonts w:ascii="仿宋_GB2312" w:hAnsi="宋体" w:eastAsia="仿宋_GB2312" w:cs="宋体"/>
                <w:color w:val="000000" w:themeColor="text1"/>
                <w:kern w:val="2"/>
                <w:sz w:val="24"/>
                <w:szCs w:val="24"/>
                <w:lang w:eastAsia="zh-CN"/>
                <w14:textFill>
                  <w14:solidFill>
                    <w14:schemeClr w14:val="tx1"/>
                  </w14:solidFill>
                </w14:textFill>
              </w:rPr>
              <w:t>8</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114681054</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65020374</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90"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19</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减：因信用转换调整的表外项目余额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-77801850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-30993655</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20</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减：减值准备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-306535</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-279410</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lang w:eastAsia="zh-CN"/>
                <w14:textFill>
                  <w14:solidFill>
                    <w14:schemeClr w14:val="tx1"/>
                  </w14:solidFill>
                </w14:textFill>
              </w:rPr>
              <w:t>21</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b/>
                <w:bCs/>
                <w:color w:val="000000" w:themeColor="text1"/>
                <w:kern w:val="2"/>
                <w:sz w:val="24"/>
                <w:szCs w:val="24"/>
                <w:lang w:eastAsia="zh-CN"/>
                <w14:textFill>
                  <w14:solidFill>
                    <w14:schemeClr w14:val="tx1"/>
                  </w14:solidFill>
                </w14:textFill>
              </w:rPr>
              <w:t>调整后的表外项目余额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36572669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33747308</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lang w:eastAsia="zh-CN"/>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2</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14:textFill>
                  <w14:solidFill>
                    <w14:schemeClr w14:val="tx1"/>
                  </w14:solidFill>
                </w14:textFill>
              </w:rPr>
              <w:t>一级资本</w:t>
            </w:r>
            <w:r>
              <w:rPr>
                <w:rFonts w:hint="eastAsia" w:ascii="仿宋_GB2312" w:hAnsi="宋体" w:eastAsia="仿宋_GB2312" w:cs="宋体"/>
                <w:color w:val="000000" w:themeColor="text1"/>
                <w:kern w:val="2"/>
                <w:sz w:val="24"/>
                <w:szCs w:val="24"/>
                <w:lang w:eastAsia="zh-CN"/>
                <w14:textFill>
                  <w14:solidFill>
                    <w14:schemeClr w14:val="tx1"/>
                  </w14:solidFill>
                </w14:textFill>
              </w:rPr>
              <w:t>净额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16750693</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16188716</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399"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3</w:t>
            </w:r>
          </w:p>
        </w:tc>
        <w:tc>
          <w:tcPr>
            <w:tcW w:w="4786" w:type="dxa"/>
            <w:tcBorders>
              <w:top w:val="nil"/>
              <w:left w:val="nil"/>
              <w:bottom w:val="single" w:color="auto" w:sz="4" w:space="0"/>
              <w:right w:val="single" w:color="auto" w:sz="4" w:space="0"/>
            </w:tcBorders>
            <w:vAlign w:val="center"/>
          </w:tcPr>
          <w:p>
            <w:pPr>
              <w:snapToGrid w:val="0"/>
              <w:spacing w:line="480" w:lineRule="exact"/>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调整后表内外资产余额</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249875809</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242653277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5505" w:type="dxa"/>
            <w:gridSpan w:val="2"/>
            <w:tcBorders>
              <w:top w:val="single" w:color="auto" w:sz="4" w:space="0"/>
              <w:left w:val="single" w:color="000000" w:sz="4" w:space="0"/>
              <w:bottom w:val="single" w:color="auto" w:sz="4" w:space="0"/>
              <w:right w:val="nil"/>
            </w:tcBorders>
            <w:shd w:val="clear" w:color="auto" w:fill="A6A6A6"/>
            <w:vAlign w:val="bottom"/>
          </w:tcPr>
          <w:p>
            <w:pPr>
              <w:rPr>
                <w:rFonts w:ascii="仿宋_GB2312" w:eastAsia="仿宋_GB2312" w:cs="宋体"/>
                <w:b/>
                <w:color w:val="000000" w:themeColor="text1"/>
                <w:sz w:val="24"/>
                <w:szCs w:val="24"/>
                <w14:textFill>
                  <w14:solidFill>
                    <w14:schemeClr w14:val="tx1"/>
                  </w14:solidFill>
                </w14:textFill>
              </w:rPr>
            </w:pPr>
          </w:p>
        </w:tc>
        <w:tc>
          <w:tcPr>
            <w:tcW w:w="1508" w:type="dxa"/>
            <w:tcBorders>
              <w:top w:val="single" w:color="auto" w:sz="4" w:space="0"/>
              <w:left w:val="nil"/>
              <w:bottom w:val="single" w:color="auto" w:sz="4" w:space="0"/>
              <w:right w:val="single" w:color="auto" w:sz="4" w:space="0"/>
            </w:tcBorders>
            <w:shd w:val="clear" w:color="auto" w:fill="A6A6A6"/>
            <w:vAlign w:val="bottom"/>
          </w:tcPr>
          <w:p>
            <w:pPr>
              <w:rPr>
                <w:rFonts w:hint="default" w:ascii="Arial" w:hAnsi="Arial" w:cs="Arial"/>
                <w:sz w:val="24"/>
                <w:szCs w:val="24"/>
              </w:rPr>
            </w:pPr>
          </w:p>
        </w:tc>
        <w:tc>
          <w:tcPr>
            <w:tcW w:w="1509" w:type="dxa"/>
            <w:gridSpan w:val="2"/>
            <w:tcBorders>
              <w:top w:val="single" w:color="auto" w:sz="4" w:space="0"/>
              <w:left w:val="single" w:color="auto" w:sz="4" w:space="0"/>
              <w:bottom w:val="single" w:color="auto" w:sz="4" w:space="0"/>
              <w:right w:val="single" w:color="000000" w:sz="4" w:space="0"/>
            </w:tcBorders>
            <w:shd w:val="clear" w:color="auto" w:fill="A6A6A6"/>
            <w:vAlign w:val="bottom"/>
          </w:tcPr>
          <w:p>
            <w:pPr>
              <w:rPr>
                <w:rFonts w:hint="default" w:ascii="Arial" w:hAnsi="Arial" w:cs="Arial"/>
                <w:sz w:val="24"/>
                <w:szCs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nil"/>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p>
        </w:tc>
        <w:tc>
          <w:tcPr>
            <w:tcW w:w="4786" w:type="dxa"/>
            <w:tcBorders>
              <w:top w:val="nil"/>
              <w:left w:val="nil"/>
              <w:bottom w:val="single" w:color="auto" w:sz="4" w:space="0"/>
              <w:right w:val="single" w:color="auto" w:sz="4" w:space="0"/>
            </w:tcBorders>
            <w:vAlign w:val="center"/>
          </w:tcPr>
          <w:p>
            <w:pPr>
              <w:snapToGrid w:val="0"/>
              <w:spacing w:line="480" w:lineRule="exact"/>
              <w:jc w:val="both"/>
              <w:rPr>
                <w:rFonts w:ascii="仿宋_GB2312"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auto"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4</w:t>
            </w:r>
            <w:r>
              <w:rPr>
                <w:rFonts w:ascii="仿宋_GB2312" w:hAnsi="宋体" w:eastAsia="仿宋_GB2312" w:cs="宋体"/>
                <w:color w:val="000000" w:themeColor="text1"/>
                <w:kern w:val="2"/>
                <w:sz w:val="24"/>
                <w:szCs w:val="24"/>
                <w14:textFill>
                  <w14:solidFill>
                    <w14:schemeClr w14:val="tx1"/>
                  </w14:solidFill>
                </w14:textFill>
              </w:rPr>
              <w:t>a</w:t>
            </w:r>
          </w:p>
        </w:tc>
        <w:tc>
          <w:tcPr>
            <w:tcW w:w="4786" w:type="dxa"/>
            <w:tcBorders>
              <w:top w:val="single" w:color="auto" w:sz="4" w:space="0"/>
              <w:left w:val="nil"/>
              <w:bottom w:val="single" w:color="auto" w:sz="4" w:space="0"/>
              <w:right w:val="single" w:color="auto" w:sz="4" w:space="0"/>
            </w:tcBorders>
            <w:vAlign w:val="center"/>
          </w:tcPr>
          <w:p>
            <w:pPr>
              <w:snapToGrid w:val="0"/>
              <w:spacing w:line="480" w:lineRule="exact"/>
              <w:jc w:val="both"/>
              <w:rPr>
                <w:rFonts w:ascii="仿宋_GB2312" w:hAnsi="宋体" w:eastAsia="仿宋_GB2312" w:cs="宋体"/>
                <w:color w:val="000000" w:themeColor="text1"/>
                <w:sz w:val="24"/>
                <w:szCs w:val="24"/>
                <w:lang w:eastAsia="zh-CN"/>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杠杆率</w:t>
            </w:r>
            <w:r>
              <w:rPr>
                <w:rFonts w:ascii="仿宋_GB2312" w:hAnsi="宋体" w:eastAsia="仿宋_GB2312" w:cs="宋体"/>
                <w:color w:val="000000" w:themeColor="text1"/>
                <w:kern w:val="2"/>
                <w:sz w:val="24"/>
                <w:szCs w:val="24"/>
                <w:lang w:eastAsia="zh-CN"/>
                <w14:textFill>
                  <w14:solidFill>
                    <w14:schemeClr w14:val="tx1"/>
                  </w14:solidFill>
                </w14:textFill>
              </w:rPr>
              <w:t>a</w:t>
            </w:r>
          </w:p>
        </w:tc>
        <w:tc>
          <w:tcPr>
            <w:tcW w:w="1508" w:type="dxa"/>
            <w:tcBorders>
              <w:top w:val="single" w:color="auto" w:sz="4" w:space="0"/>
              <w:left w:val="nil"/>
              <w:bottom w:val="single" w:color="auto"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lang w:eastAsia="zh-CN"/>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6.70</w:t>
            </w:r>
          </w:p>
        </w:tc>
        <w:tc>
          <w:tcPr>
            <w:tcW w:w="1509" w:type="dxa"/>
            <w:gridSpan w:val="2"/>
            <w:tcBorders>
              <w:top w:val="single" w:color="auto" w:sz="4" w:space="0"/>
              <w:left w:val="single" w:color="auto" w:sz="4" w:space="0"/>
              <w:bottom w:val="single" w:color="auto"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6.67</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88" w:hRule="atLeast"/>
        </w:trPr>
        <w:tc>
          <w:tcPr>
            <w:tcW w:w="719" w:type="dxa"/>
            <w:tcBorders>
              <w:top w:val="single" w:color="auto" w:sz="4" w:space="0"/>
              <w:left w:val="single" w:color="000000" w:sz="4" w:space="0"/>
              <w:bottom w:val="single" w:color="000000" w:sz="4" w:space="0"/>
              <w:right w:val="single" w:color="auto" w:sz="4" w:space="0"/>
            </w:tcBorders>
            <w:vAlign w:val="center"/>
          </w:tcPr>
          <w:p>
            <w:pPr>
              <w:snapToGrid w:val="0"/>
              <w:spacing w:line="480" w:lineRule="exact"/>
              <w:jc w:val="center"/>
              <w:rPr>
                <w:rFonts w:ascii="仿宋_GB2312" w:hAnsi="宋体" w:eastAsia="仿宋_GB2312" w:cs="宋体"/>
                <w:color w:val="000000" w:themeColor="text1"/>
                <w:sz w:val="24"/>
                <w:szCs w:val="24"/>
                <w14:textFill>
                  <w14:solidFill>
                    <w14:schemeClr w14:val="tx1"/>
                  </w14:solidFill>
                </w14:textFill>
              </w:rPr>
            </w:pPr>
            <w:r>
              <w:rPr>
                <w:rFonts w:ascii="仿宋_GB2312" w:hAnsi="宋体" w:eastAsia="仿宋_GB2312" w:cs="宋体"/>
                <w:color w:val="000000" w:themeColor="text1"/>
                <w:kern w:val="2"/>
                <w:sz w:val="24"/>
                <w:szCs w:val="24"/>
                <w14:textFill>
                  <w14:solidFill>
                    <w14:schemeClr w14:val="tx1"/>
                  </w14:solidFill>
                </w14:textFill>
              </w:rPr>
              <w:t>2</w:t>
            </w:r>
            <w:r>
              <w:rPr>
                <w:rFonts w:ascii="仿宋_GB2312" w:hAnsi="宋体" w:eastAsia="仿宋_GB2312" w:cs="宋体"/>
                <w:color w:val="000000" w:themeColor="text1"/>
                <w:kern w:val="2"/>
                <w:sz w:val="24"/>
                <w:szCs w:val="24"/>
                <w:lang w:eastAsia="zh-CN"/>
                <w14:textFill>
                  <w14:solidFill>
                    <w14:schemeClr w14:val="tx1"/>
                  </w14:solidFill>
                </w14:textFill>
              </w:rPr>
              <w:t>5</w:t>
            </w:r>
          </w:p>
        </w:tc>
        <w:tc>
          <w:tcPr>
            <w:tcW w:w="4786" w:type="dxa"/>
            <w:tcBorders>
              <w:top w:val="single" w:color="auto" w:sz="4" w:space="0"/>
              <w:left w:val="nil"/>
              <w:bottom w:val="single" w:color="000000" w:sz="4" w:space="0"/>
              <w:right w:val="single" w:color="auto" w:sz="4" w:space="0"/>
            </w:tcBorders>
            <w:vAlign w:val="center"/>
          </w:tcPr>
          <w:p>
            <w:pPr>
              <w:snapToGrid w:val="0"/>
              <w:spacing w:line="480" w:lineRule="exact"/>
              <w:rPr>
                <w:rFonts w:ascii="仿宋_GB2312" w:hAnsi="宋体" w:eastAsia="仿宋_GB2312" w:cs="宋体"/>
                <w:color w:val="000000" w:themeColor="text1"/>
                <w:sz w:val="24"/>
                <w:szCs w:val="24"/>
                <w14:textFill>
                  <w14:solidFill>
                    <w14:schemeClr w14:val="tx1"/>
                  </w14:solidFill>
                </w14:textFill>
              </w:rPr>
            </w:pPr>
            <w:r>
              <w:rPr>
                <w:rFonts w:hint="eastAsia" w:ascii="仿宋_GB2312" w:hAnsi="宋体" w:eastAsia="仿宋_GB2312" w:cs="宋体"/>
                <w:color w:val="000000" w:themeColor="text1"/>
                <w:kern w:val="2"/>
                <w:sz w:val="24"/>
                <w:szCs w:val="24"/>
                <w:lang w:eastAsia="zh-CN"/>
                <w14:textFill>
                  <w14:solidFill>
                    <w14:schemeClr w14:val="tx1"/>
                  </w14:solidFill>
                </w14:textFill>
              </w:rPr>
              <w:t>最低杠杆率要求</w:t>
            </w:r>
          </w:p>
        </w:tc>
        <w:tc>
          <w:tcPr>
            <w:tcW w:w="1508" w:type="dxa"/>
            <w:tcBorders>
              <w:top w:val="single" w:color="auto" w:sz="4" w:space="0"/>
              <w:left w:val="nil"/>
              <w:bottom w:val="single" w:color="000000" w:sz="4" w:space="0"/>
              <w:right w:val="single" w:color="auto" w:sz="4" w:space="0"/>
            </w:tcBorders>
            <w:vAlign w:val="bottom"/>
          </w:tcPr>
          <w:p>
            <w:pPr>
              <w:keepNext w:val="0"/>
              <w:keepLines w:val="0"/>
              <w:widowControl/>
              <w:suppressLineNumbers w:val="0"/>
              <w:jc w:val="right"/>
              <w:textAlignment w:val="bottom"/>
              <w:rPr>
                <w:rFonts w:hint="default" w:ascii="Arial" w:hAnsi="Arial" w:eastAsia="仿宋_GB2312" w:cs="Arial"/>
                <w:color w:val="000000" w:themeColor="text1"/>
                <w:sz w:val="24"/>
                <w:szCs w:val="24"/>
                <w14:textFill>
                  <w14:solidFill>
                    <w14:schemeClr w14:val="tx1"/>
                  </w14:solidFill>
                </w14:textFill>
              </w:rPr>
            </w:pPr>
            <w:r>
              <w:rPr>
                <w:rFonts w:hint="default" w:ascii="Arial" w:hAnsi="Arial" w:eastAsia="宋体" w:cs="Arial"/>
                <w:i w:val="0"/>
                <w:color w:val="000000"/>
                <w:kern w:val="0"/>
                <w:sz w:val="24"/>
                <w:szCs w:val="24"/>
                <w:u w:val="none"/>
                <w:lang w:val="en-US" w:eastAsia="zh-CN" w:bidi="ar"/>
              </w:rPr>
              <w:t>4.00</w:t>
            </w:r>
          </w:p>
        </w:tc>
        <w:tc>
          <w:tcPr>
            <w:tcW w:w="1509" w:type="dxa"/>
            <w:gridSpan w:val="2"/>
            <w:tcBorders>
              <w:top w:val="single" w:color="auto" w:sz="4" w:space="0"/>
              <w:left w:val="single" w:color="auto" w:sz="4" w:space="0"/>
              <w:bottom w:val="single" w:color="000000" w:sz="4" w:space="0"/>
              <w:right w:val="single" w:color="000000" w:sz="4" w:space="0"/>
            </w:tcBorders>
            <w:vAlign w:val="bottom"/>
          </w:tcPr>
          <w:p>
            <w:pPr>
              <w:keepNext w:val="0"/>
              <w:keepLines w:val="0"/>
              <w:widowControl/>
              <w:suppressLineNumbers w:val="0"/>
              <w:jc w:val="right"/>
              <w:textAlignment w:val="bottom"/>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4.00</w:t>
            </w:r>
          </w:p>
        </w:tc>
      </w:tr>
    </w:tbl>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snapToGrid w:val="0"/>
        <w:spacing w:line="480" w:lineRule="exact"/>
        <w:outlineLvl w:val="1"/>
        <w:rPr>
          <w:rFonts w:hint="eastAsia" w:ascii="楷体" w:hAnsi="楷体" w:eastAsia="楷体" w:cs="楷体"/>
          <w:color w:val="000000" w:themeColor="text1"/>
          <w:sz w:val="30"/>
          <w:szCs w:val="30"/>
          <w:lang w:val="en-US" w:eastAsia="zh-CN"/>
          <w14:textFill>
            <w14:solidFill>
              <w14:schemeClr w14:val="tx1"/>
            </w14:solidFill>
          </w14:textFill>
        </w:rPr>
      </w:pPr>
      <w:r>
        <w:rPr>
          <w:rFonts w:hint="eastAsia" w:ascii="楷体" w:hAnsi="楷体" w:eastAsia="楷体" w:cs="楷体"/>
          <w:color w:val="000000" w:themeColor="text1"/>
          <w:sz w:val="30"/>
          <w:szCs w:val="30"/>
          <w:lang w:val="en-US" w:eastAsia="zh-CN"/>
          <w14:textFill>
            <w14:solidFill>
              <w14:schemeClr w14:val="tx1"/>
            </w14:solidFill>
          </w14:textFill>
        </w:rPr>
        <w:t>附表八：资本工具主要特征</w:t>
      </w:r>
    </w:p>
    <w:p>
      <w:pPr>
        <w:snapToGrid w:val="0"/>
        <w:spacing w:line="480" w:lineRule="exact"/>
        <w:jc w:val="right"/>
        <w:outlineLvl w:val="1"/>
        <w:rPr>
          <w:rFonts w:hint="eastAsia" w:ascii="楷体" w:hAnsi="楷体" w:eastAsia="楷体" w:cs="楷体"/>
          <w:color w:val="000000" w:themeColor="text1"/>
          <w:sz w:val="30"/>
          <w:szCs w:val="30"/>
          <w:lang w:val="en-US" w:eastAsia="zh-CN"/>
          <w14:textFill>
            <w14:solidFill>
              <w14:schemeClr w14:val="tx1"/>
            </w14:solidFill>
          </w14:textFill>
        </w:rPr>
      </w:pPr>
      <w:r>
        <w:rPr>
          <w:rFonts w:hint="eastAsia" w:ascii="楷体" w:hAnsi="楷体" w:eastAsia="楷体" w:cs="楷体"/>
          <w:color w:val="000000" w:themeColor="text1"/>
          <w:sz w:val="30"/>
          <w:szCs w:val="30"/>
          <w:lang w:val="en-US" w:eastAsia="zh-CN"/>
          <w14:textFill>
            <w14:solidFill>
              <w14:schemeClr w14:val="tx1"/>
            </w14:solidFill>
          </w14:textFill>
        </w:rPr>
        <w:t>单位：千元</w:t>
      </w:r>
    </w:p>
    <w:tbl>
      <w:tblPr>
        <w:tblStyle w:val="2"/>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22"/>
        <w:gridCol w:w="1726"/>
        <w:gridCol w:w="3913"/>
        <w:gridCol w:w="3913"/>
        <w:gridCol w:w="3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lang w:eastAsia="zh-CN"/>
              </w:rPr>
            </w:pPr>
            <w:r>
              <w:rPr>
                <w:rFonts w:hint="eastAsia" w:ascii="仿宋_GB2312" w:hAnsi="宋体" w:eastAsia="仿宋_GB2312" w:cs="仿宋_GB2312"/>
                <w:i w:val="0"/>
                <w:color w:val="000000"/>
                <w:sz w:val="20"/>
                <w:szCs w:val="20"/>
                <w:u w:val="none"/>
                <w:lang w:eastAsia="zh-CN"/>
              </w:rPr>
              <w:t>序号</w:t>
            </w:r>
          </w:p>
        </w:tc>
        <w:tc>
          <w:tcPr>
            <w:tcW w:w="1726" w:type="dxa"/>
            <w:tcBorders>
              <w:top w:val="single" w:color="000000" w:sz="8" w:space="0"/>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lang w:eastAsia="zh-CN"/>
              </w:rPr>
            </w:pPr>
            <w:r>
              <w:rPr>
                <w:rFonts w:hint="eastAsia" w:ascii="仿宋_GB2312" w:hAnsi="宋体" w:eastAsia="仿宋_GB2312" w:cs="仿宋_GB2312"/>
                <w:i w:val="0"/>
                <w:color w:val="000000"/>
                <w:sz w:val="20"/>
                <w:szCs w:val="20"/>
                <w:u w:val="none"/>
                <w:lang w:eastAsia="zh-CN"/>
              </w:rPr>
              <w:t>资本工具主要特征</w:t>
            </w:r>
          </w:p>
        </w:tc>
        <w:tc>
          <w:tcPr>
            <w:tcW w:w="3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普通股</w:t>
            </w:r>
          </w:p>
        </w:tc>
        <w:tc>
          <w:tcPr>
            <w:tcW w:w="391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二级资本债券</w:t>
            </w:r>
          </w:p>
        </w:tc>
        <w:tc>
          <w:tcPr>
            <w:tcW w:w="3914" w:type="dxa"/>
            <w:tcBorders>
              <w:top w:val="single" w:color="000000" w:sz="8" w:space="0"/>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发行机构</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苏农银行</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苏农银行</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苏农银行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标识码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603323</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CND1000471J5</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CND10007Z6W1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适用法律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中国大陆</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中国大陆</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中国大陆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资本层级</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核心一级资本</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ind w:firstLineChars="20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其中：适用法人/集团层面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法人和集团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法人和集团</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法人和集团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工具类型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核心一级资本工具</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二级资本债工具</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二级资本债工具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可计入监管资本的数额（最近一期报告日数额，单位：百万元人民币）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default" w:ascii="仿宋_GB2312" w:hAnsi="宋体" w:eastAsia="仿宋_GB2312" w:cs="仿宋_GB2312"/>
                <w:i w:val="0"/>
                <w:color w:val="000000"/>
                <w:kern w:val="0"/>
                <w:sz w:val="20"/>
                <w:szCs w:val="20"/>
                <w:u w:val="none"/>
                <w:lang w:val="en-US" w:eastAsia="zh-CN" w:bidi="ar"/>
              </w:rPr>
              <w:t>687</w:t>
            </w:r>
            <w:r>
              <w:rPr>
                <w:rFonts w:hint="eastAsia" w:ascii="仿宋_GB2312" w:hAnsi="宋体" w:eastAsia="仿宋_GB2312" w:cs="仿宋_GB2312"/>
                <w:i w:val="0"/>
                <w:color w:val="000000"/>
                <w:kern w:val="0"/>
                <w:sz w:val="20"/>
                <w:szCs w:val="20"/>
                <w:u w:val="none"/>
                <w:lang w:val="en-US" w:eastAsia="zh-CN" w:bidi="ar"/>
              </w:rPr>
              <w:t>.</w:t>
            </w:r>
            <w:r>
              <w:rPr>
                <w:rFonts w:hint="default" w:ascii="仿宋_GB2312" w:hAnsi="宋体" w:eastAsia="仿宋_GB2312" w:cs="仿宋_GB2312"/>
                <w:i w:val="0"/>
                <w:color w:val="000000"/>
                <w:kern w:val="0"/>
                <w:sz w:val="20"/>
                <w:szCs w:val="20"/>
                <w:u w:val="none"/>
                <w:lang w:val="en-US" w:eastAsia="zh-CN" w:bidi="ar"/>
              </w:rPr>
              <w:t>7</w:t>
            </w:r>
            <w:r>
              <w:rPr>
                <w:rFonts w:hint="eastAsia" w:ascii="仿宋_GB2312" w:hAnsi="宋体" w:eastAsia="仿宋_GB2312" w:cs="仿宋_GB2312"/>
                <w:i w:val="0"/>
                <w:color w:val="000000"/>
                <w:kern w:val="0"/>
                <w:sz w:val="20"/>
                <w:szCs w:val="20"/>
                <w:u w:val="none"/>
                <w:lang w:val="en-US" w:eastAsia="zh-CN" w:bidi="ar"/>
              </w:rPr>
              <w:t>8</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516.53</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sz w:val="20"/>
                <w:szCs w:val="20"/>
                <w:u w:val="none"/>
                <w:lang w:val="en-US"/>
              </w:rPr>
            </w:pPr>
            <w:r>
              <w:rPr>
                <w:rFonts w:hint="eastAsia" w:ascii="仿宋_GB2312" w:hAnsi="宋体" w:eastAsia="仿宋_GB2312" w:cs="仿宋_GB2312"/>
                <w:i w:val="0"/>
                <w:color w:val="000000"/>
                <w:kern w:val="0"/>
                <w:sz w:val="20"/>
                <w:szCs w:val="20"/>
                <w:u w:val="none"/>
                <w:lang w:val="en-US" w:eastAsia="zh-CN" w:bidi="ar"/>
              </w:rPr>
              <w:t>1016.48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工具面值（单位：百万元人民币）</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111.50</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500</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会计处理</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权益</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以摊余成本计量的负债</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以摊余成本计量的负债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初始发行日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2016年11月29日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2021年4月15日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2024年5月22日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是否存在固定期限</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其中：原始到期日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无到期日</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2031年4月19日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2034年5月24日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发行人赎回（需经监管认可）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其中：赎回日期及额度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赎回日期：2026年4月19日，赎回额度：5亿元</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赎回日期：2029/5/24，赎回额度：10亿元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其中：后续赎回日期（如有）</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2031年4月19日</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2034年5月24日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jc w:val="both"/>
              <w:rPr>
                <w:rFonts w:hint="eastAsia" w:ascii="仿宋_GB2312" w:hAnsi="宋体" w:eastAsia="仿宋_GB2312" w:cs="仿宋_GB2312"/>
                <w:i w:val="0"/>
                <w:color w:val="000000"/>
                <w:sz w:val="20"/>
                <w:szCs w:val="20"/>
                <w:u w:val="none"/>
              </w:rPr>
            </w:pP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分红或派息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其中：固定或浮动分红/派息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浮动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固定</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固定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其中：票面利率及相关指标，如采用的基准利率等</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4.80%</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其中：是否存在股息制动机制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19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其中：是否可自主取消分红或派息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完全自由裁量</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无自由裁量权</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无自由裁量权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其中：是否有赎回激励机制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其中：累计或非累计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非累积</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非累积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非累积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是否可转股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其中：若可转股，则说明转股触发条件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24</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其中：若可转股，则说明全部转股还是部分转股</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25</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其中：若可转股，则说明转股价格确定方式</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26</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其中：若可转股，则说明是否为强制性转换</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27</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其中：若可转股，则说明转换后工具类型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28</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其中：若可转股，则说明转换后工具的发行人</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29</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是否减记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否</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30</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其中：若减记，则说明减记触发条件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当无法生存触发事件发生时，发行人有权在无需获得债券持有人同意的情况下，在其他一级资本工具全部减记或转股后，将本期债券的本金进行部分或全部减记。本期债券按照存续票面金额在设有同一触发事件的所有二级资本工具存续票面总金额中所占的比例进行减记。</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当无法生存触发事件发生时，发行人有权在无需获得债券持有人同意的情况下，在其他一级资本工具全部减记或转股后，将本期债券的本金进行部分或全部减记。本期债券按照存续票面金额在设有同一触发事件的所有二级资本工具存续票面总金额中所占的比例进行减记。无法生存触发事件指以下两者中的较早者：（1）国家金融监督管理局认定若不进行减记，发行人将无法生存；（2）相关部门认定若不进行公共部门注资或提供同等效力的支持，发行人将无法生存。减记部分不可恢复，减记部分尚未支付的累积应付利息亦将不再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31</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其中：若减记，则说明是部分减记还是全部减记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全部或部分减记</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全部或部分减记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32</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其中：若减记，则说明是永久减记还是临时减记</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永久减计</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永久减计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33</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Style w:val="5"/>
                <w:rFonts w:hAnsi="宋体"/>
                <w:sz w:val="20"/>
                <w:szCs w:val="20"/>
                <w:lang w:val="en-US" w:eastAsia="zh-CN" w:bidi="ar"/>
              </w:rPr>
              <w:t xml:space="preserve">    其中：若临时减记，则说明账面价值恢复机制</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jc w:val="center"/>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33a</w:t>
            </w:r>
          </w:p>
        </w:tc>
        <w:tc>
          <w:tcPr>
            <w:tcW w:w="1726" w:type="dxa"/>
            <w:tcBorders>
              <w:top w:val="nil"/>
              <w:left w:val="nil"/>
              <w:bottom w:val="single" w:color="000000" w:sz="8"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次级类型</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c>
          <w:tcPr>
            <w:tcW w:w="3914" w:type="dxa"/>
            <w:tcBorders>
              <w:top w:val="nil"/>
              <w:left w:val="single" w:color="000000" w:sz="8" w:space="0"/>
              <w:bottom w:val="single" w:color="000000" w:sz="8"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4" w:hRule="atLeast"/>
        </w:trPr>
        <w:tc>
          <w:tcPr>
            <w:tcW w:w="522" w:type="dxa"/>
            <w:tcBorders>
              <w:top w:val="nil"/>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bottom"/>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34</w:t>
            </w:r>
          </w:p>
        </w:tc>
        <w:tc>
          <w:tcPr>
            <w:tcW w:w="1726" w:type="dxa"/>
            <w:tcBorders>
              <w:top w:val="nil"/>
              <w:left w:val="nil"/>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both"/>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清算时清偿顺序（说明清偿顺序更高级的工具类型）</w:t>
            </w:r>
          </w:p>
        </w:tc>
        <w:tc>
          <w:tcPr>
            <w:tcW w:w="3913" w:type="dxa"/>
            <w:tcBorders>
              <w:top w:val="nil"/>
              <w:left w:val="single" w:color="000000" w:sz="8"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kern w:val="0"/>
                <w:sz w:val="20"/>
                <w:szCs w:val="20"/>
                <w:u w:val="none"/>
                <w:lang w:val="en-US" w:eastAsia="zh-CN" w:bidi="ar"/>
              </w:rPr>
            </w:pPr>
            <w:r>
              <w:rPr>
                <w:rFonts w:hint="eastAsia" w:ascii="仿宋_GB2312" w:hAnsi="宋体" w:eastAsia="仿宋_GB2312" w:cs="仿宋_GB2312"/>
                <w:i w:val="0"/>
                <w:color w:val="000000"/>
                <w:kern w:val="0"/>
                <w:sz w:val="20"/>
                <w:szCs w:val="20"/>
                <w:u w:val="none"/>
                <w:lang w:val="en-US" w:eastAsia="zh-CN" w:bidi="ar"/>
              </w:rPr>
              <w:t>不适用</w:t>
            </w:r>
          </w:p>
        </w:tc>
        <w:tc>
          <w:tcPr>
            <w:tcW w:w="3913" w:type="dxa"/>
            <w:tcBorders>
              <w:top w:val="nil"/>
              <w:left w:val="single" w:color="000000" w:sz="8" w:space="0"/>
              <w:bottom w:val="single" w:color="000000" w:sz="4"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本期债券本金的清偿顺序和利息支付顺序在存款人和一般债权人之后，股权资本、其他一级资本工具和混合资本债券之前;本期债券与发行人已发行的与本期债券偿还顺序相同的其他次级债务处于同一清偿顺序,与未来可能发行的与本期债券偿还顺序相同的其他二级资本工具同顺位受偿。除非发行人结业、倒闭或清算，投资者不能要求发行人加速偿还本期债券的本金。本期债券的派息将遵守监管当局现时有效的监管规定。除发生触发事件外，本期债券的本金和利息不可递延支付或取消支付。</w:t>
            </w:r>
          </w:p>
        </w:tc>
        <w:tc>
          <w:tcPr>
            <w:tcW w:w="3914" w:type="dxa"/>
            <w:tcBorders>
              <w:top w:val="nil"/>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eastAsia" w:ascii="仿宋_GB2312" w:hAnsi="宋体" w:eastAsia="仿宋_GB2312" w:cs="仿宋_GB2312"/>
                <w:i w:val="0"/>
                <w:color w:val="000000"/>
                <w:sz w:val="20"/>
                <w:szCs w:val="20"/>
                <w:u w:val="none"/>
              </w:rPr>
            </w:pPr>
            <w:r>
              <w:rPr>
                <w:rFonts w:hint="eastAsia" w:ascii="仿宋_GB2312" w:hAnsi="宋体" w:eastAsia="仿宋_GB2312" w:cs="仿宋_GB2312"/>
                <w:i w:val="0"/>
                <w:color w:val="000000"/>
                <w:kern w:val="0"/>
                <w:sz w:val="20"/>
                <w:szCs w:val="20"/>
                <w:u w:val="none"/>
                <w:lang w:val="en-US" w:eastAsia="zh-CN" w:bidi="ar"/>
              </w:rPr>
              <w:t>本次债券本金的清偿顺序和利息支付顺序均在存款人和一般债权人之后，股权资本、其他一级资本工具和混合资本债券之前;本次债券与发行人已发行的与本次债券偿还顺序相同的其他次级债务处于同一清偿顺序，与未来可能发行的与本次债券偿还顺序相同的其他二级资本工具同顺位受偿。除非发行人进入破产清算程序，投资者不能要求发行人加速偿还本次债券的本金和利息。</w:t>
            </w:r>
          </w:p>
        </w:tc>
      </w:tr>
    </w:tbl>
    <w:p>
      <w:pPr>
        <w:rPr>
          <w:rFonts w:hint="eastAsia" w:ascii="仿宋" w:hAnsi="仿宋" w:eastAsia="仿宋" w:cs="仿宋"/>
          <w:sz w:val="20"/>
          <w:szCs w:val="20"/>
          <w:lang w:val="en-US" w:eastAsia="zh-CN"/>
        </w:rPr>
      </w:pPr>
    </w:p>
    <w:sectPr>
      <w:pgSz w:w="16838" w:h="11906" w:orient="landscape"/>
      <w:pgMar w:top="1800" w:right="1440" w:bottom="1800" w:left="144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59D0"/>
    <w:rsid w:val="001A0A26"/>
    <w:rsid w:val="00377B0C"/>
    <w:rsid w:val="005C2E6F"/>
    <w:rsid w:val="009D130F"/>
    <w:rsid w:val="00B1399E"/>
    <w:rsid w:val="00D15BAE"/>
    <w:rsid w:val="00DB4472"/>
    <w:rsid w:val="00E41CD7"/>
    <w:rsid w:val="00E96815"/>
    <w:rsid w:val="00F8338D"/>
    <w:rsid w:val="011038F8"/>
    <w:rsid w:val="011C7179"/>
    <w:rsid w:val="01427CC7"/>
    <w:rsid w:val="015109E3"/>
    <w:rsid w:val="01735DE0"/>
    <w:rsid w:val="01B9069D"/>
    <w:rsid w:val="01D0609A"/>
    <w:rsid w:val="01FC28DC"/>
    <w:rsid w:val="021141F5"/>
    <w:rsid w:val="021814FC"/>
    <w:rsid w:val="024E186D"/>
    <w:rsid w:val="026A0715"/>
    <w:rsid w:val="02A10CF5"/>
    <w:rsid w:val="02AE6BA6"/>
    <w:rsid w:val="02B7475C"/>
    <w:rsid w:val="02BC2A04"/>
    <w:rsid w:val="02D97F11"/>
    <w:rsid w:val="02DC0D0F"/>
    <w:rsid w:val="03150554"/>
    <w:rsid w:val="031627B0"/>
    <w:rsid w:val="0330780D"/>
    <w:rsid w:val="03316A72"/>
    <w:rsid w:val="03392A7D"/>
    <w:rsid w:val="03845BA2"/>
    <w:rsid w:val="038E5EF8"/>
    <w:rsid w:val="03975EC2"/>
    <w:rsid w:val="03E61283"/>
    <w:rsid w:val="045E3B87"/>
    <w:rsid w:val="046A4637"/>
    <w:rsid w:val="0478741C"/>
    <w:rsid w:val="04B806FE"/>
    <w:rsid w:val="04CF7249"/>
    <w:rsid w:val="04DA66DB"/>
    <w:rsid w:val="04DD79BB"/>
    <w:rsid w:val="04FF7101"/>
    <w:rsid w:val="052F077E"/>
    <w:rsid w:val="053E4A13"/>
    <w:rsid w:val="05452CF2"/>
    <w:rsid w:val="05731022"/>
    <w:rsid w:val="05796E4A"/>
    <w:rsid w:val="05962815"/>
    <w:rsid w:val="05AA002A"/>
    <w:rsid w:val="062A6882"/>
    <w:rsid w:val="064110E1"/>
    <w:rsid w:val="06682C18"/>
    <w:rsid w:val="067730B9"/>
    <w:rsid w:val="06A502E6"/>
    <w:rsid w:val="06D62019"/>
    <w:rsid w:val="073A41F9"/>
    <w:rsid w:val="07405E9A"/>
    <w:rsid w:val="0753066A"/>
    <w:rsid w:val="07604546"/>
    <w:rsid w:val="07864C9A"/>
    <w:rsid w:val="07866F6F"/>
    <w:rsid w:val="07B94616"/>
    <w:rsid w:val="07C87954"/>
    <w:rsid w:val="07DD18F8"/>
    <w:rsid w:val="07F13F25"/>
    <w:rsid w:val="07F92ED2"/>
    <w:rsid w:val="08562CD1"/>
    <w:rsid w:val="08634A8B"/>
    <w:rsid w:val="08654B2E"/>
    <w:rsid w:val="088A1A88"/>
    <w:rsid w:val="08B80EC6"/>
    <w:rsid w:val="08DA3EEE"/>
    <w:rsid w:val="08EB5EE9"/>
    <w:rsid w:val="09032C26"/>
    <w:rsid w:val="091D2364"/>
    <w:rsid w:val="092C3541"/>
    <w:rsid w:val="09891043"/>
    <w:rsid w:val="0A621877"/>
    <w:rsid w:val="0AA60DD3"/>
    <w:rsid w:val="0AB1578A"/>
    <w:rsid w:val="0AD25F62"/>
    <w:rsid w:val="0B25317E"/>
    <w:rsid w:val="0B4476F8"/>
    <w:rsid w:val="0B4D5266"/>
    <w:rsid w:val="0B55788B"/>
    <w:rsid w:val="0B88352B"/>
    <w:rsid w:val="0BB701D8"/>
    <w:rsid w:val="0BC07D0D"/>
    <w:rsid w:val="0BD544C6"/>
    <w:rsid w:val="0C472A5F"/>
    <w:rsid w:val="0C5767F9"/>
    <w:rsid w:val="0C795951"/>
    <w:rsid w:val="0C845A60"/>
    <w:rsid w:val="0CD976FA"/>
    <w:rsid w:val="0CED7550"/>
    <w:rsid w:val="0D156061"/>
    <w:rsid w:val="0D176D42"/>
    <w:rsid w:val="0D266236"/>
    <w:rsid w:val="0D5020C7"/>
    <w:rsid w:val="0D58296C"/>
    <w:rsid w:val="0D682710"/>
    <w:rsid w:val="0D7E6FC2"/>
    <w:rsid w:val="0DB73867"/>
    <w:rsid w:val="0DD039E4"/>
    <w:rsid w:val="0DEC3B33"/>
    <w:rsid w:val="0DEF5E0C"/>
    <w:rsid w:val="0DFD038C"/>
    <w:rsid w:val="0E281B86"/>
    <w:rsid w:val="0E9E0022"/>
    <w:rsid w:val="0EA2552D"/>
    <w:rsid w:val="0EB4533E"/>
    <w:rsid w:val="0EC82D9F"/>
    <w:rsid w:val="0EE02E2E"/>
    <w:rsid w:val="0F062C4F"/>
    <w:rsid w:val="0F163CCB"/>
    <w:rsid w:val="0F6E59E4"/>
    <w:rsid w:val="0F717E84"/>
    <w:rsid w:val="0FA164FD"/>
    <w:rsid w:val="0FAC1B5B"/>
    <w:rsid w:val="0FCA1A49"/>
    <w:rsid w:val="10213AAE"/>
    <w:rsid w:val="103457A0"/>
    <w:rsid w:val="104D0D72"/>
    <w:rsid w:val="10BD3FC2"/>
    <w:rsid w:val="11680030"/>
    <w:rsid w:val="11742DE6"/>
    <w:rsid w:val="11B02BC1"/>
    <w:rsid w:val="11DD0903"/>
    <w:rsid w:val="120F1B51"/>
    <w:rsid w:val="12141FCE"/>
    <w:rsid w:val="12264518"/>
    <w:rsid w:val="123038F6"/>
    <w:rsid w:val="12760979"/>
    <w:rsid w:val="12BB14F1"/>
    <w:rsid w:val="12C16F92"/>
    <w:rsid w:val="12C47C85"/>
    <w:rsid w:val="12D1709D"/>
    <w:rsid w:val="130A7B3B"/>
    <w:rsid w:val="135A295C"/>
    <w:rsid w:val="13650466"/>
    <w:rsid w:val="13752225"/>
    <w:rsid w:val="137C5799"/>
    <w:rsid w:val="13D977A5"/>
    <w:rsid w:val="13F24F24"/>
    <w:rsid w:val="140E4545"/>
    <w:rsid w:val="1410151A"/>
    <w:rsid w:val="14517C55"/>
    <w:rsid w:val="14524747"/>
    <w:rsid w:val="14682706"/>
    <w:rsid w:val="14845411"/>
    <w:rsid w:val="148677DE"/>
    <w:rsid w:val="1523518B"/>
    <w:rsid w:val="152705E4"/>
    <w:rsid w:val="152B2DE4"/>
    <w:rsid w:val="1596408B"/>
    <w:rsid w:val="159B7E3F"/>
    <w:rsid w:val="15F03F96"/>
    <w:rsid w:val="15FE58DB"/>
    <w:rsid w:val="162F7E19"/>
    <w:rsid w:val="16345FBB"/>
    <w:rsid w:val="163A5BB3"/>
    <w:rsid w:val="163F6AEF"/>
    <w:rsid w:val="166B23D4"/>
    <w:rsid w:val="16900903"/>
    <w:rsid w:val="16BA2DCF"/>
    <w:rsid w:val="16D800BD"/>
    <w:rsid w:val="16E750EF"/>
    <w:rsid w:val="16EA6E76"/>
    <w:rsid w:val="17217A35"/>
    <w:rsid w:val="17264F81"/>
    <w:rsid w:val="176C2298"/>
    <w:rsid w:val="17800655"/>
    <w:rsid w:val="180674BE"/>
    <w:rsid w:val="18224761"/>
    <w:rsid w:val="184B2D5A"/>
    <w:rsid w:val="184B3C05"/>
    <w:rsid w:val="187F3060"/>
    <w:rsid w:val="18825D60"/>
    <w:rsid w:val="18951B93"/>
    <w:rsid w:val="18A75179"/>
    <w:rsid w:val="18CC455F"/>
    <w:rsid w:val="18E01A29"/>
    <w:rsid w:val="194D7C68"/>
    <w:rsid w:val="1974688B"/>
    <w:rsid w:val="1989643E"/>
    <w:rsid w:val="199E7C00"/>
    <w:rsid w:val="19BC5791"/>
    <w:rsid w:val="19CA1AEE"/>
    <w:rsid w:val="1A2E0858"/>
    <w:rsid w:val="1A7C0F99"/>
    <w:rsid w:val="1A9974D2"/>
    <w:rsid w:val="1B5F5F4E"/>
    <w:rsid w:val="1B606829"/>
    <w:rsid w:val="1BB521EA"/>
    <w:rsid w:val="1BC73923"/>
    <w:rsid w:val="1BC9083F"/>
    <w:rsid w:val="1BCC048A"/>
    <w:rsid w:val="1BDB3548"/>
    <w:rsid w:val="1BDF3C66"/>
    <w:rsid w:val="1BE51C21"/>
    <w:rsid w:val="1BE522F9"/>
    <w:rsid w:val="1BF00CBC"/>
    <w:rsid w:val="1BF40D44"/>
    <w:rsid w:val="1C3A3CF5"/>
    <w:rsid w:val="1C460D00"/>
    <w:rsid w:val="1CF32A05"/>
    <w:rsid w:val="1D414265"/>
    <w:rsid w:val="1D8914B0"/>
    <w:rsid w:val="1DA61979"/>
    <w:rsid w:val="1DBB14C7"/>
    <w:rsid w:val="1DBC2476"/>
    <w:rsid w:val="1E0F6DA7"/>
    <w:rsid w:val="1E2C1899"/>
    <w:rsid w:val="1E9A6CAF"/>
    <w:rsid w:val="1ED25622"/>
    <w:rsid w:val="1EDF2538"/>
    <w:rsid w:val="1EE60E3E"/>
    <w:rsid w:val="1F1171D0"/>
    <w:rsid w:val="1F345092"/>
    <w:rsid w:val="1F5E32B7"/>
    <w:rsid w:val="1FBE3BC5"/>
    <w:rsid w:val="1FCD177C"/>
    <w:rsid w:val="1FDD7C3F"/>
    <w:rsid w:val="1FFC5A58"/>
    <w:rsid w:val="20016B0E"/>
    <w:rsid w:val="202150F5"/>
    <w:rsid w:val="20324EC0"/>
    <w:rsid w:val="205A0C09"/>
    <w:rsid w:val="20855DC1"/>
    <w:rsid w:val="209B6552"/>
    <w:rsid w:val="20D62016"/>
    <w:rsid w:val="21051D60"/>
    <w:rsid w:val="213C145A"/>
    <w:rsid w:val="21715E87"/>
    <w:rsid w:val="21A0066F"/>
    <w:rsid w:val="21AE6229"/>
    <w:rsid w:val="21BD7D82"/>
    <w:rsid w:val="21DB262F"/>
    <w:rsid w:val="220A4D00"/>
    <w:rsid w:val="22321896"/>
    <w:rsid w:val="2254225A"/>
    <w:rsid w:val="22551F53"/>
    <w:rsid w:val="22DC4722"/>
    <w:rsid w:val="22E66B79"/>
    <w:rsid w:val="22EE19BF"/>
    <w:rsid w:val="22F80010"/>
    <w:rsid w:val="22FD4EDB"/>
    <w:rsid w:val="23042127"/>
    <w:rsid w:val="23121C93"/>
    <w:rsid w:val="231C23C5"/>
    <w:rsid w:val="233D2A3D"/>
    <w:rsid w:val="234C5D50"/>
    <w:rsid w:val="237810A4"/>
    <w:rsid w:val="23D54B35"/>
    <w:rsid w:val="23F1265F"/>
    <w:rsid w:val="23F92327"/>
    <w:rsid w:val="24090513"/>
    <w:rsid w:val="24677266"/>
    <w:rsid w:val="247A2B07"/>
    <w:rsid w:val="2484490B"/>
    <w:rsid w:val="248F0C19"/>
    <w:rsid w:val="24903568"/>
    <w:rsid w:val="24D83F71"/>
    <w:rsid w:val="250260E1"/>
    <w:rsid w:val="250C744B"/>
    <w:rsid w:val="251040F2"/>
    <w:rsid w:val="25443643"/>
    <w:rsid w:val="254C6F35"/>
    <w:rsid w:val="25641D4C"/>
    <w:rsid w:val="257C09F4"/>
    <w:rsid w:val="25823F9C"/>
    <w:rsid w:val="259B2076"/>
    <w:rsid w:val="25A93061"/>
    <w:rsid w:val="25AA720A"/>
    <w:rsid w:val="25DD70B8"/>
    <w:rsid w:val="263B2215"/>
    <w:rsid w:val="2664325F"/>
    <w:rsid w:val="267B23FA"/>
    <w:rsid w:val="26964651"/>
    <w:rsid w:val="269C2181"/>
    <w:rsid w:val="26B90446"/>
    <w:rsid w:val="26CF08F3"/>
    <w:rsid w:val="26E02CBB"/>
    <w:rsid w:val="26EB0E9B"/>
    <w:rsid w:val="26F83645"/>
    <w:rsid w:val="27127A10"/>
    <w:rsid w:val="27385196"/>
    <w:rsid w:val="27923F27"/>
    <w:rsid w:val="27A039C1"/>
    <w:rsid w:val="27C21558"/>
    <w:rsid w:val="28325A75"/>
    <w:rsid w:val="28537F6C"/>
    <w:rsid w:val="2859187D"/>
    <w:rsid w:val="28756BD9"/>
    <w:rsid w:val="287D56F2"/>
    <w:rsid w:val="289628B1"/>
    <w:rsid w:val="28A5345C"/>
    <w:rsid w:val="28A60EB9"/>
    <w:rsid w:val="28A733E9"/>
    <w:rsid w:val="28BF1DE9"/>
    <w:rsid w:val="28E2554A"/>
    <w:rsid w:val="28E85467"/>
    <w:rsid w:val="29334E61"/>
    <w:rsid w:val="2990347D"/>
    <w:rsid w:val="29DB5260"/>
    <w:rsid w:val="29EB3CFB"/>
    <w:rsid w:val="29F625DE"/>
    <w:rsid w:val="29F87D49"/>
    <w:rsid w:val="2A12300C"/>
    <w:rsid w:val="2A137463"/>
    <w:rsid w:val="2A323226"/>
    <w:rsid w:val="2A3A23A4"/>
    <w:rsid w:val="2A7553D7"/>
    <w:rsid w:val="2A834053"/>
    <w:rsid w:val="2AB010D2"/>
    <w:rsid w:val="2ACF7CA5"/>
    <w:rsid w:val="2AD638A2"/>
    <w:rsid w:val="2AD907CA"/>
    <w:rsid w:val="2ADF0221"/>
    <w:rsid w:val="2B5B4CBB"/>
    <w:rsid w:val="2B7F22DD"/>
    <w:rsid w:val="2B901F00"/>
    <w:rsid w:val="2B9B5082"/>
    <w:rsid w:val="2BA47074"/>
    <w:rsid w:val="2BC54434"/>
    <w:rsid w:val="2BE81C72"/>
    <w:rsid w:val="2BEF19B7"/>
    <w:rsid w:val="2C8753D2"/>
    <w:rsid w:val="2CC06388"/>
    <w:rsid w:val="2CEB2A06"/>
    <w:rsid w:val="2D26017A"/>
    <w:rsid w:val="2D8A5881"/>
    <w:rsid w:val="2DAD54CC"/>
    <w:rsid w:val="2DF16526"/>
    <w:rsid w:val="2E123E14"/>
    <w:rsid w:val="2E1E1F95"/>
    <w:rsid w:val="2E313987"/>
    <w:rsid w:val="2E5E1174"/>
    <w:rsid w:val="2E622D69"/>
    <w:rsid w:val="2EE321BB"/>
    <w:rsid w:val="2F0F397B"/>
    <w:rsid w:val="2F343A68"/>
    <w:rsid w:val="2F4710B7"/>
    <w:rsid w:val="2F5D1717"/>
    <w:rsid w:val="2F6F425C"/>
    <w:rsid w:val="2F741BA7"/>
    <w:rsid w:val="2FC41AEE"/>
    <w:rsid w:val="2FFD7388"/>
    <w:rsid w:val="30515E6F"/>
    <w:rsid w:val="306329F2"/>
    <w:rsid w:val="308D569A"/>
    <w:rsid w:val="30952618"/>
    <w:rsid w:val="309D0A59"/>
    <w:rsid w:val="30A07E66"/>
    <w:rsid w:val="30B1153D"/>
    <w:rsid w:val="30DE7292"/>
    <w:rsid w:val="30EB7DC5"/>
    <w:rsid w:val="310B4AE4"/>
    <w:rsid w:val="311A5486"/>
    <w:rsid w:val="311F172C"/>
    <w:rsid w:val="31466AC2"/>
    <w:rsid w:val="3149398D"/>
    <w:rsid w:val="314A3EFE"/>
    <w:rsid w:val="31746453"/>
    <w:rsid w:val="32160E40"/>
    <w:rsid w:val="32583EFC"/>
    <w:rsid w:val="327269D8"/>
    <w:rsid w:val="32BD7376"/>
    <w:rsid w:val="32CD515B"/>
    <w:rsid w:val="34263522"/>
    <w:rsid w:val="34273808"/>
    <w:rsid w:val="34575E2E"/>
    <w:rsid w:val="345B6692"/>
    <w:rsid w:val="346022EB"/>
    <w:rsid w:val="3460758C"/>
    <w:rsid w:val="34670FA5"/>
    <w:rsid w:val="347D731D"/>
    <w:rsid w:val="347F12C5"/>
    <w:rsid w:val="34916699"/>
    <w:rsid w:val="34CD22C9"/>
    <w:rsid w:val="350B60C9"/>
    <w:rsid w:val="35165CA4"/>
    <w:rsid w:val="351A62D2"/>
    <w:rsid w:val="3522489D"/>
    <w:rsid w:val="359D1342"/>
    <w:rsid w:val="359F4AAF"/>
    <w:rsid w:val="35F331E3"/>
    <w:rsid w:val="35F76ED0"/>
    <w:rsid w:val="360232B7"/>
    <w:rsid w:val="360C4B24"/>
    <w:rsid w:val="36206EC3"/>
    <w:rsid w:val="3636007C"/>
    <w:rsid w:val="368F0107"/>
    <w:rsid w:val="36935BF9"/>
    <w:rsid w:val="369E6D5B"/>
    <w:rsid w:val="36E7774E"/>
    <w:rsid w:val="3780330B"/>
    <w:rsid w:val="379B4657"/>
    <w:rsid w:val="37A03F56"/>
    <w:rsid w:val="37AD42D8"/>
    <w:rsid w:val="37BA03BD"/>
    <w:rsid w:val="37C07427"/>
    <w:rsid w:val="37DB4F2C"/>
    <w:rsid w:val="37EA7D59"/>
    <w:rsid w:val="38391FF1"/>
    <w:rsid w:val="384A7E5E"/>
    <w:rsid w:val="387A1644"/>
    <w:rsid w:val="38854FE2"/>
    <w:rsid w:val="38E065F4"/>
    <w:rsid w:val="38E37300"/>
    <w:rsid w:val="38ED1DBD"/>
    <w:rsid w:val="39397F3D"/>
    <w:rsid w:val="394149D2"/>
    <w:rsid w:val="39B735CA"/>
    <w:rsid w:val="39BD5F92"/>
    <w:rsid w:val="39DF4CFB"/>
    <w:rsid w:val="39F233D2"/>
    <w:rsid w:val="3A3F2433"/>
    <w:rsid w:val="3A5357E7"/>
    <w:rsid w:val="3A5A47E3"/>
    <w:rsid w:val="3A8335EE"/>
    <w:rsid w:val="3A927F06"/>
    <w:rsid w:val="3AB517EE"/>
    <w:rsid w:val="3AE14BDA"/>
    <w:rsid w:val="3AE71A5D"/>
    <w:rsid w:val="3B7C3F0F"/>
    <w:rsid w:val="3BB657BA"/>
    <w:rsid w:val="3BC44A6C"/>
    <w:rsid w:val="3BCB5DBA"/>
    <w:rsid w:val="3BD65806"/>
    <w:rsid w:val="3C065B84"/>
    <w:rsid w:val="3C2A5AF2"/>
    <w:rsid w:val="3C3134E1"/>
    <w:rsid w:val="3C5C6504"/>
    <w:rsid w:val="3C63666F"/>
    <w:rsid w:val="3C994BA1"/>
    <w:rsid w:val="3CCC1D3C"/>
    <w:rsid w:val="3CE55446"/>
    <w:rsid w:val="3D18298B"/>
    <w:rsid w:val="3D2340C0"/>
    <w:rsid w:val="3D5C342D"/>
    <w:rsid w:val="3D781680"/>
    <w:rsid w:val="3D805BB0"/>
    <w:rsid w:val="3DA45E8F"/>
    <w:rsid w:val="3DE06C23"/>
    <w:rsid w:val="3E1630F7"/>
    <w:rsid w:val="3E2208E8"/>
    <w:rsid w:val="3E3867ED"/>
    <w:rsid w:val="3E603239"/>
    <w:rsid w:val="3E654B44"/>
    <w:rsid w:val="3E6A57DE"/>
    <w:rsid w:val="3E772BB6"/>
    <w:rsid w:val="3E865D25"/>
    <w:rsid w:val="3E8C14E2"/>
    <w:rsid w:val="3EAD1F31"/>
    <w:rsid w:val="3ECD4E4C"/>
    <w:rsid w:val="3EE407FC"/>
    <w:rsid w:val="3EEC702C"/>
    <w:rsid w:val="3F0C51DE"/>
    <w:rsid w:val="3F215EDA"/>
    <w:rsid w:val="3F5744B1"/>
    <w:rsid w:val="3F580F52"/>
    <w:rsid w:val="3F602472"/>
    <w:rsid w:val="3F6B6E62"/>
    <w:rsid w:val="3FB105CC"/>
    <w:rsid w:val="405A1DFC"/>
    <w:rsid w:val="40605038"/>
    <w:rsid w:val="40816591"/>
    <w:rsid w:val="408F1476"/>
    <w:rsid w:val="40AD36D0"/>
    <w:rsid w:val="40B05294"/>
    <w:rsid w:val="40D65747"/>
    <w:rsid w:val="40E43C0B"/>
    <w:rsid w:val="410A1008"/>
    <w:rsid w:val="41283936"/>
    <w:rsid w:val="41331570"/>
    <w:rsid w:val="41410C92"/>
    <w:rsid w:val="4186175C"/>
    <w:rsid w:val="41C6714C"/>
    <w:rsid w:val="41F72857"/>
    <w:rsid w:val="42271A19"/>
    <w:rsid w:val="422E5869"/>
    <w:rsid w:val="42906AA9"/>
    <w:rsid w:val="42F3222D"/>
    <w:rsid w:val="43146A05"/>
    <w:rsid w:val="43477BCC"/>
    <w:rsid w:val="435C63D4"/>
    <w:rsid w:val="43670943"/>
    <w:rsid w:val="436D5D16"/>
    <w:rsid w:val="43712370"/>
    <w:rsid w:val="4373798E"/>
    <w:rsid w:val="437637F5"/>
    <w:rsid w:val="43A05024"/>
    <w:rsid w:val="43AF5475"/>
    <w:rsid w:val="43BA00F8"/>
    <w:rsid w:val="43BC0EEC"/>
    <w:rsid w:val="43D1456E"/>
    <w:rsid w:val="444830EA"/>
    <w:rsid w:val="44534E68"/>
    <w:rsid w:val="44545027"/>
    <w:rsid w:val="445C4466"/>
    <w:rsid w:val="44771D5C"/>
    <w:rsid w:val="449501E5"/>
    <w:rsid w:val="451360CE"/>
    <w:rsid w:val="45293884"/>
    <w:rsid w:val="45487EE8"/>
    <w:rsid w:val="4573577B"/>
    <w:rsid w:val="45A63884"/>
    <w:rsid w:val="45BB6E89"/>
    <w:rsid w:val="45E20756"/>
    <w:rsid w:val="45E967AE"/>
    <w:rsid w:val="45FF524C"/>
    <w:rsid w:val="46217D80"/>
    <w:rsid w:val="465B680D"/>
    <w:rsid w:val="466A0C41"/>
    <w:rsid w:val="466D3524"/>
    <w:rsid w:val="467B4D52"/>
    <w:rsid w:val="468774DA"/>
    <w:rsid w:val="46CA45FD"/>
    <w:rsid w:val="46DA23CB"/>
    <w:rsid w:val="46FA1799"/>
    <w:rsid w:val="47003AA7"/>
    <w:rsid w:val="470C5592"/>
    <w:rsid w:val="47167071"/>
    <w:rsid w:val="474F06BD"/>
    <w:rsid w:val="478543F8"/>
    <w:rsid w:val="478B2199"/>
    <w:rsid w:val="47A958EE"/>
    <w:rsid w:val="48295354"/>
    <w:rsid w:val="482A7959"/>
    <w:rsid w:val="49047C9D"/>
    <w:rsid w:val="49113246"/>
    <w:rsid w:val="491264B7"/>
    <w:rsid w:val="49296DB0"/>
    <w:rsid w:val="496B4F4E"/>
    <w:rsid w:val="49831960"/>
    <w:rsid w:val="49CB54F0"/>
    <w:rsid w:val="49D162F4"/>
    <w:rsid w:val="49D171D0"/>
    <w:rsid w:val="49E14EE7"/>
    <w:rsid w:val="49F4534F"/>
    <w:rsid w:val="4AAB006F"/>
    <w:rsid w:val="4ABE2C8E"/>
    <w:rsid w:val="4ACE1B01"/>
    <w:rsid w:val="4AE55434"/>
    <w:rsid w:val="4B0109A7"/>
    <w:rsid w:val="4B033713"/>
    <w:rsid w:val="4B4C7B77"/>
    <w:rsid w:val="4B8550AA"/>
    <w:rsid w:val="4BC22DAE"/>
    <w:rsid w:val="4BD1705A"/>
    <w:rsid w:val="4BED0959"/>
    <w:rsid w:val="4C220DDE"/>
    <w:rsid w:val="4C8E3EBE"/>
    <w:rsid w:val="4CD931A8"/>
    <w:rsid w:val="4CE9025F"/>
    <w:rsid w:val="4CEC21F1"/>
    <w:rsid w:val="4D117558"/>
    <w:rsid w:val="4D236792"/>
    <w:rsid w:val="4D425506"/>
    <w:rsid w:val="4D437D4B"/>
    <w:rsid w:val="4D8D4E7A"/>
    <w:rsid w:val="4D912FAD"/>
    <w:rsid w:val="4DA1552F"/>
    <w:rsid w:val="4DA15CF3"/>
    <w:rsid w:val="4DD21DE7"/>
    <w:rsid w:val="4DE67E30"/>
    <w:rsid w:val="4DFB76B5"/>
    <w:rsid w:val="4E1520B2"/>
    <w:rsid w:val="4E38353D"/>
    <w:rsid w:val="4E684793"/>
    <w:rsid w:val="4E715CFE"/>
    <w:rsid w:val="4E8239BC"/>
    <w:rsid w:val="4E9B65D7"/>
    <w:rsid w:val="4EB330A7"/>
    <w:rsid w:val="4EB40D06"/>
    <w:rsid w:val="4EBC4B37"/>
    <w:rsid w:val="4EE147B1"/>
    <w:rsid w:val="4F2A561C"/>
    <w:rsid w:val="4F4632E7"/>
    <w:rsid w:val="4F6D29B8"/>
    <w:rsid w:val="4F96101C"/>
    <w:rsid w:val="4FC739FC"/>
    <w:rsid w:val="4FD754B7"/>
    <w:rsid w:val="4FDE42D2"/>
    <w:rsid w:val="50204055"/>
    <w:rsid w:val="50390F1E"/>
    <w:rsid w:val="506612C4"/>
    <w:rsid w:val="50972F6C"/>
    <w:rsid w:val="50B04C8F"/>
    <w:rsid w:val="50C22415"/>
    <w:rsid w:val="50DC3077"/>
    <w:rsid w:val="50DC41F5"/>
    <w:rsid w:val="50F502B0"/>
    <w:rsid w:val="5109570C"/>
    <w:rsid w:val="510D2DDC"/>
    <w:rsid w:val="51306FED"/>
    <w:rsid w:val="513A4F6F"/>
    <w:rsid w:val="514246E6"/>
    <w:rsid w:val="51565413"/>
    <w:rsid w:val="515E6299"/>
    <w:rsid w:val="51C55FA9"/>
    <w:rsid w:val="51DE5290"/>
    <w:rsid w:val="520A043D"/>
    <w:rsid w:val="52235201"/>
    <w:rsid w:val="52443591"/>
    <w:rsid w:val="526669B4"/>
    <w:rsid w:val="526A6D29"/>
    <w:rsid w:val="52892CE2"/>
    <w:rsid w:val="528D3B09"/>
    <w:rsid w:val="52B053BD"/>
    <w:rsid w:val="52C2722A"/>
    <w:rsid w:val="53297AE5"/>
    <w:rsid w:val="539D4FAD"/>
    <w:rsid w:val="53B7531C"/>
    <w:rsid w:val="53DB028B"/>
    <w:rsid w:val="543447AA"/>
    <w:rsid w:val="551556FB"/>
    <w:rsid w:val="551A468B"/>
    <w:rsid w:val="55212294"/>
    <w:rsid w:val="5555589B"/>
    <w:rsid w:val="556805E1"/>
    <w:rsid w:val="556B24C0"/>
    <w:rsid w:val="556B3318"/>
    <w:rsid w:val="55A857A7"/>
    <w:rsid w:val="56590FAA"/>
    <w:rsid w:val="567E4BE9"/>
    <w:rsid w:val="56907E9A"/>
    <w:rsid w:val="56F3559A"/>
    <w:rsid w:val="56F80400"/>
    <w:rsid w:val="57336284"/>
    <w:rsid w:val="57351A11"/>
    <w:rsid w:val="57402A64"/>
    <w:rsid w:val="577C275B"/>
    <w:rsid w:val="57BC7C28"/>
    <w:rsid w:val="57FE2ADB"/>
    <w:rsid w:val="580E1120"/>
    <w:rsid w:val="583D2509"/>
    <w:rsid w:val="5850246F"/>
    <w:rsid w:val="5865652E"/>
    <w:rsid w:val="58C53FA4"/>
    <w:rsid w:val="58CA5AB7"/>
    <w:rsid w:val="58EE4D6D"/>
    <w:rsid w:val="59047DBF"/>
    <w:rsid w:val="591111C2"/>
    <w:rsid w:val="592338F6"/>
    <w:rsid w:val="59421301"/>
    <w:rsid w:val="59586158"/>
    <w:rsid w:val="595A16D9"/>
    <w:rsid w:val="59A3207E"/>
    <w:rsid w:val="59A81CB5"/>
    <w:rsid w:val="59CB787E"/>
    <w:rsid w:val="59D26CFC"/>
    <w:rsid w:val="59D43421"/>
    <w:rsid w:val="59D506DD"/>
    <w:rsid w:val="5A6104D4"/>
    <w:rsid w:val="5A6E18CB"/>
    <w:rsid w:val="5AC06F9C"/>
    <w:rsid w:val="5AC077C1"/>
    <w:rsid w:val="5AF041F7"/>
    <w:rsid w:val="5B282499"/>
    <w:rsid w:val="5B2E4889"/>
    <w:rsid w:val="5B5D35FA"/>
    <w:rsid w:val="5B7F0C1E"/>
    <w:rsid w:val="5B995DAC"/>
    <w:rsid w:val="5BAE764A"/>
    <w:rsid w:val="5BE23DB7"/>
    <w:rsid w:val="5C5375FA"/>
    <w:rsid w:val="5C634DF3"/>
    <w:rsid w:val="5CCB33EB"/>
    <w:rsid w:val="5CCE1146"/>
    <w:rsid w:val="5D221572"/>
    <w:rsid w:val="5D5B5E6F"/>
    <w:rsid w:val="5D7574EC"/>
    <w:rsid w:val="5DAF3DFB"/>
    <w:rsid w:val="5DC6662F"/>
    <w:rsid w:val="5DD363D0"/>
    <w:rsid w:val="5DE2052F"/>
    <w:rsid w:val="5DEF7CE3"/>
    <w:rsid w:val="5DFD52DC"/>
    <w:rsid w:val="5E243778"/>
    <w:rsid w:val="5E4B0FB6"/>
    <w:rsid w:val="5E4B4D7C"/>
    <w:rsid w:val="5E5D79F9"/>
    <w:rsid w:val="5EB34969"/>
    <w:rsid w:val="5EB61D0F"/>
    <w:rsid w:val="5EEB058C"/>
    <w:rsid w:val="5EFD398E"/>
    <w:rsid w:val="5F5546AD"/>
    <w:rsid w:val="5F9D2B88"/>
    <w:rsid w:val="5FA35C55"/>
    <w:rsid w:val="6028338F"/>
    <w:rsid w:val="602E4278"/>
    <w:rsid w:val="60337107"/>
    <w:rsid w:val="60551B7C"/>
    <w:rsid w:val="608A62AD"/>
    <w:rsid w:val="614A48DD"/>
    <w:rsid w:val="616E26F3"/>
    <w:rsid w:val="6180016F"/>
    <w:rsid w:val="61980AFD"/>
    <w:rsid w:val="619C35F9"/>
    <w:rsid w:val="61C10E95"/>
    <w:rsid w:val="61D83090"/>
    <w:rsid w:val="61FE6241"/>
    <w:rsid w:val="62137C67"/>
    <w:rsid w:val="62263ECD"/>
    <w:rsid w:val="62785215"/>
    <w:rsid w:val="628C6136"/>
    <w:rsid w:val="62921CAF"/>
    <w:rsid w:val="62A01A3D"/>
    <w:rsid w:val="62AF5AA3"/>
    <w:rsid w:val="62C874A7"/>
    <w:rsid w:val="630E56B1"/>
    <w:rsid w:val="63304AA2"/>
    <w:rsid w:val="63503FC0"/>
    <w:rsid w:val="63991F5C"/>
    <w:rsid w:val="63B70DDC"/>
    <w:rsid w:val="63D74BBC"/>
    <w:rsid w:val="63E702A9"/>
    <w:rsid w:val="63E77597"/>
    <w:rsid w:val="640F52FF"/>
    <w:rsid w:val="642C35B9"/>
    <w:rsid w:val="643167E9"/>
    <w:rsid w:val="643E4A99"/>
    <w:rsid w:val="646D6B99"/>
    <w:rsid w:val="647D28DC"/>
    <w:rsid w:val="64810CD6"/>
    <w:rsid w:val="64AA59B2"/>
    <w:rsid w:val="64C20496"/>
    <w:rsid w:val="64D413A7"/>
    <w:rsid w:val="64E220CD"/>
    <w:rsid w:val="65084A8B"/>
    <w:rsid w:val="652621DC"/>
    <w:rsid w:val="652763F2"/>
    <w:rsid w:val="652A4A28"/>
    <w:rsid w:val="65393199"/>
    <w:rsid w:val="653F212C"/>
    <w:rsid w:val="65515BD7"/>
    <w:rsid w:val="657538E5"/>
    <w:rsid w:val="65783271"/>
    <w:rsid w:val="6580592C"/>
    <w:rsid w:val="65AB35DD"/>
    <w:rsid w:val="661459C4"/>
    <w:rsid w:val="664631DF"/>
    <w:rsid w:val="66885571"/>
    <w:rsid w:val="66995E41"/>
    <w:rsid w:val="66BA0BF3"/>
    <w:rsid w:val="66DC045A"/>
    <w:rsid w:val="66E05F8B"/>
    <w:rsid w:val="66E645D9"/>
    <w:rsid w:val="66FD6274"/>
    <w:rsid w:val="6712688F"/>
    <w:rsid w:val="67222313"/>
    <w:rsid w:val="67536D59"/>
    <w:rsid w:val="678964A8"/>
    <w:rsid w:val="678E5E8B"/>
    <w:rsid w:val="67A90D05"/>
    <w:rsid w:val="67B777C2"/>
    <w:rsid w:val="67DF483B"/>
    <w:rsid w:val="67EA3C44"/>
    <w:rsid w:val="67EE2316"/>
    <w:rsid w:val="68160826"/>
    <w:rsid w:val="6829254F"/>
    <w:rsid w:val="68365E21"/>
    <w:rsid w:val="683B1E40"/>
    <w:rsid w:val="68644906"/>
    <w:rsid w:val="68657487"/>
    <w:rsid w:val="68A702F5"/>
    <w:rsid w:val="69161C18"/>
    <w:rsid w:val="695B13FE"/>
    <w:rsid w:val="698D79BA"/>
    <w:rsid w:val="69B177AA"/>
    <w:rsid w:val="69D90AE2"/>
    <w:rsid w:val="69E22DF3"/>
    <w:rsid w:val="69EC02A9"/>
    <w:rsid w:val="6A125C3F"/>
    <w:rsid w:val="6A135607"/>
    <w:rsid w:val="6A234580"/>
    <w:rsid w:val="6A761CE5"/>
    <w:rsid w:val="6B14660C"/>
    <w:rsid w:val="6B1F2EAA"/>
    <w:rsid w:val="6B7048FB"/>
    <w:rsid w:val="6BBC7781"/>
    <w:rsid w:val="6BC01C13"/>
    <w:rsid w:val="6BFB68B3"/>
    <w:rsid w:val="6C1C48FE"/>
    <w:rsid w:val="6C637F2E"/>
    <w:rsid w:val="6C6A2D6A"/>
    <w:rsid w:val="6C863097"/>
    <w:rsid w:val="6CAC2EFF"/>
    <w:rsid w:val="6CB07C89"/>
    <w:rsid w:val="6CC23088"/>
    <w:rsid w:val="6CC71BEE"/>
    <w:rsid w:val="6CD42D63"/>
    <w:rsid w:val="6D0468D3"/>
    <w:rsid w:val="6D1E2632"/>
    <w:rsid w:val="6D847E46"/>
    <w:rsid w:val="6D9D0427"/>
    <w:rsid w:val="6DD76241"/>
    <w:rsid w:val="6DF17F52"/>
    <w:rsid w:val="6E0134C9"/>
    <w:rsid w:val="6E114F7A"/>
    <w:rsid w:val="6E977789"/>
    <w:rsid w:val="6EAB7865"/>
    <w:rsid w:val="6EC817EE"/>
    <w:rsid w:val="6EE22B54"/>
    <w:rsid w:val="6EFE414D"/>
    <w:rsid w:val="6F0D0C80"/>
    <w:rsid w:val="6FA0526F"/>
    <w:rsid w:val="6FA54553"/>
    <w:rsid w:val="6FAA7B2C"/>
    <w:rsid w:val="6FB30B03"/>
    <w:rsid w:val="6FDD0058"/>
    <w:rsid w:val="70021F50"/>
    <w:rsid w:val="705D7F2E"/>
    <w:rsid w:val="709B6FCB"/>
    <w:rsid w:val="70FE57E7"/>
    <w:rsid w:val="71231C75"/>
    <w:rsid w:val="715430A1"/>
    <w:rsid w:val="7161576F"/>
    <w:rsid w:val="719F6F93"/>
    <w:rsid w:val="71E61428"/>
    <w:rsid w:val="7205246D"/>
    <w:rsid w:val="7283160F"/>
    <w:rsid w:val="729D1B52"/>
    <w:rsid w:val="72AD7A67"/>
    <w:rsid w:val="72BF364C"/>
    <w:rsid w:val="72E569D0"/>
    <w:rsid w:val="72F627C7"/>
    <w:rsid w:val="72FF4371"/>
    <w:rsid w:val="730D70A2"/>
    <w:rsid w:val="736F152E"/>
    <w:rsid w:val="737236E5"/>
    <w:rsid w:val="73CF0EB2"/>
    <w:rsid w:val="73E82D9E"/>
    <w:rsid w:val="73FD58B0"/>
    <w:rsid w:val="741C2CB6"/>
    <w:rsid w:val="74252CE8"/>
    <w:rsid w:val="74457264"/>
    <w:rsid w:val="74683E6F"/>
    <w:rsid w:val="747A12E1"/>
    <w:rsid w:val="747C4F89"/>
    <w:rsid w:val="74B609DE"/>
    <w:rsid w:val="752B0C20"/>
    <w:rsid w:val="756F5FED"/>
    <w:rsid w:val="75860E80"/>
    <w:rsid w:val="75DA7BE6"/>
    <w:rsid w:val="75EF22A0"/>
    <w:rsid w:val="75FB5996"/>
    <w:rsid w:val="763E5277"/>
    <w:rsid w:val="7664730E"/>
    <w:rsid w:val="766617A9"/>
    <w:rsid w:val="76755F71"/>
    <w:rsid w:val="76B776E6"/>
    <w:rsid w:val="76CC2B6B"/>
    <w:rsid w:val="772C7A3D"/>
    <w:rsid w:val="77363B67"/>
    <w:rsid w:val="77405524"/>
    <w:rsid w:val="77724A2D"/>
    <w:rsid w:val="77A4299C"/>
    <w:rsid w:val="783A2B45"/>
    <w:rsid w:val="78CB3D5F"/>
    <w:rsid w:val="78F95E6F"/>
    <w:rsid w:val="79347CBA"/>
    <w:rsid w:val="79624B5B"/>
    <w:rsid w:val="796D7ECC"/>
    <w:rsid w:val="79AA62EB"/>
    <w:rsid w:val="79AC52D4"/>
    <w:rsid w:val="79D931B1"/>
    <w:rsid w:val="79DC745C"/>
    <w:rsid w:val="79E03C50"/>
    <w:rsid w:val="7A001793"/>
    <w:rsid w:val="7A30787F"/>
    <w:rsid w:val="7A5C182A"/>
    <w:rsid w:val="7A8A6D94"/>
    <w:rsid w:val="7A8B636F"/>
    <w:rsid w:val="7AA34403"/>
    <w:rsid w:val="7ACB7277"/>
    <w:rsid w:val="7ADB4F2E"/>
    <w:rsid w:val="7B134874"/>
    <w:rsid w:val="7B490E6B"/>
    <w:rsid w:val="7B4B1ED7"/>
    <w:rsid w:val="7B873BB3"/>
    <w:rsid w:val="7BA41449"/>
    <w:rsid w:val="7BCE3587"/>
    <w:rsid w:val="7BDB33C3"/>
    <w:rsid w:val="7BDD7F8C"/>
    <w:rsid w:val="7C1A36C5"/>
    <w:rsid w:val="7C816A41"/>
    <w:rsid w:val="7C923522"/>
    <w:rsid w:val="7C9F24AC"/>
    <w:rsid w:val="7CA30BC2"/>
    <w:rsid w:val="7CB16890"/>
    <w:rsid w:val="7CED0165"/>
    <w:rsid w:val="7CEE36AD"/>
    <w:rsid w:val="7D065E09"/>
    <w:rsid w:val="7D1D4A7B"/>
    <w:rsid w:val="7D380E1A"/>
    <w:rsid w:val="7D5057FF"/>
    <w:rsid w:val="7D854B56"/>
    <w:rsid w:val="7D987C2B"/>
    <w:rsid w:val="7D9C277B"/>
    <w:rsid w:val="7DE02400"/>
    <w:rsid w:val="7DEB34DD"/>
    <w:rsid w:val="7DEB523E"/>
    <w:rsid w:val="7DFF38B1"/>
    <w:rsid w:val="7E2C6FD7"/>
    <w:rsid w:val="7E3D4AE0"/>
    <w:rsid w:val="7E52676C"/>
    <w:rsid w:val="7E623FD0"/>
    <w:rsid w:val="7E6B1FFC"/>
    <w:rsid w:val="7E847300"/>
    <w:rsid w:val="7EA805E5"/>
    <w:rsid w:val="7ECF1358"/>
    <w:rsid w:val="7EF501E9"/>
    <w:rsid w:val="7F0645A3"/>
    <w:rsid w:val="7F88478F"/>
    <w:rsid w:val="7F923302"/>
    <w:rsid w:val="7F946CDF"/>
    <w:rsid w:val="7F986C72"/>
    <w:rsid w:val="7FAD3C84"/>
    <w:rsid w:val="7FCE7FE8"/>
    <w:rsid w:val="7FDB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font31"/>
    <w:basedOn w:val="3"/>
    <w:qFormat/>
    <w:uiPriority w:val="0"/>
    <w:rPr>
      <w:rFonts w:hint="eastAsia" w:ascii="仿宋_GB2312" w:eastAsia="仿宋_GB2312" w:cs="仿宋_GB2312"/>
      <w:color w:val="000000"/>
      <w:sz w:val="22"/>
      <w:szCs w:val="22"/>
      <w:u w:val="none"/>
    </w:rPr>
  </w:style>
  <w:style w:type="character" w:customStyle="1" w:styleId="5">
    <w:name w:val="font11"/>
    <w:basedOn w:val="3"/>
    <w:qFormat/>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2020-06-09T07:21:00Z</dcterms:created>
  <dc:creator>user</dc:creator>
  <cp:lastModifiedBy>user</cp:lastModifiedBy>
  <dcterms:modified xsi:type="dcterms:W3CDTF">2025-04-30T07:28:21Z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