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黑体" w:hAnsi="黑体" w:eastAsia="黑体" w:cs="黑体"/>
          <w:sz w:val="44"/>
          <w:szCs w:val="44"/>
          <w:lang w:val="en-US" w:eastAsia="zh-CN"/>
        </w:rPr>
      </w:pPr>
      <w:r>
        <w:rPr>
          <w:rFonts w:hint="eastAsia" w:ascii="黑体" w:hAnsi="黑体" w:eastAsia="黑体" w:cs="黑体"/>
          <w:sz w:val="44"/>
          <w:szCs w:val="44"/>
          <w:lang w:val="en-US" w:eastAsia="zh-CN"/>
        </w:rPr>
        <w:t>苏州农商银行</w:t>
      </w:r>
      <w:bookmarkStart w:id="0" w:name="_GoBack"/>
      <w:bookmarkEnd w:id="0"/>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2025年第一季度第三支柱信息披露报告</w:t>
      </w:r>
    </w:p>
    <w:p>
      <w:pPr>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本行为非国内系统重要性银行，根据《商业银行资本管理办法》（以下简称“办法”）附件22《商业银行信息披露内容和要求》的规定，本行按照办法第三章规定的并表范围披露相关信息。</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根据办法，公司首次披露相关信息，无需对前期数据追溯披露。本季度公司需披露的报表如下：</w:t>
      </w:r>
    </w:p>
    <w:p>
      <w:pPr>
        <w:ind w:firstLine="640" w:firstLineChars="200"/>
        <w:rPr>
          <w:rFonts w:hint="eastAsia" w:ascii="仿宋" w:hAnsi="仿宋" w:eastAsia="仿宋" w:cs="仿宋"/>
          <w:sz w:val="32"/>
          <w:szCs w:val="32"/>
          <w:lang w:val="en-US" w:eastAsia="zh-CN"/>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附表一：KM1监管并表关键审慎监管指标</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522"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7"/>
        <w:gridCol w:w="3692"/>
        <w:gridCol w:w="2055"/>
        <w:gridCol w:w="213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329" w:type="dxa"/>
            <w:gridSpan w:val="2"/>
            <w:vMerge w:val="restart"/>
            <w:tcBorders>
              <w:top w:val="single" w:color="000000" w:sz="4" w:space="0"/>
              <w:left w:val="single" w:color="000000" w:sz="4" w:space="0"/>
            </w:tcBorders>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tc>
        <w:tc>
          <w:tcPr>
            <w:tcW w:w="2055" w:type="dxa"/>
            <w:tcBorders>
              <w:top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a</w:t>
            </w:r>
          </w:p>
        </w:tc>
        <w:tc>
          <w:tcPr>
            <w:tcW w:w="2138" w:type="dxa"/>
            <w:tcBorders>
              <w:top w:val="single" w:color="000000" w:sz="4" w:space="0"/>
              <w:right w:val="single" w:color="000000" w:sz="4" w:space="0"/>
            </w:tcBorders>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b</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329" w:type="dxa"/>
            <w:gridSpan w:val="2"/>
            <w:vMerge w:val="continue"/>
            <w:tcBorders>
              <w:left w:val="single" w:color="000000" w:sz="4" w:space="0"/>
            </w:tcBorders>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p>
        </w:tc>
        <w:tc>
          <w:tcPr>
            <w:tcW w:w="2055" w:type="dxa"/>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2025年3月31日</w:t>
            </w:r>
          </w:p>
        </w:tc>
        <w:tc>
          <w:tcPr>
            <w:tcW w:w="2138" w:type="dxa"/>
            <w:tcBorders>
              <w:right w:val="single" w:color="000000" w:sz="4" w:space="0"/>
            </w:tcBorders>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2024年12月31日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trPr>
        <w:tc>
          <w:tcPr>
            <w:tcW w:w="6384" w:type="dxa"/>
            <w:gridSpan w:val="3"/>
            <w:tcBorders>
              <w:left w:val="single" w:color="000000" w:sz="4" w:space="0"/>
            </w:tcBorders>
            <w:shd w:val="clear" w:color="000000" w:fill="D9D9D9"/>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可用资本（</w:t>
            </w:r>
            <w:r>
              <w:rPr>
                <w:rFonts w:hint="eastAsia" w:ascii="仿宋_GB2312" w:hAnsi="仿宋" w:eastAsia="仿宋_GB2312" w:cs="Arial Unicode MS"/>
                <w:b/>
                <w:bCs/>
                <w:color w:val="000000" w:themeColor="text1"/>
                <w:sz w:val="24"/>
                <w:szCs w:val="24"/>
                <w:lang w:eastAsia="zh-CN"/>
                <w14:textFill>
                  <w14:solidFill>
                    <w14:schemeClr w14:val="tx1"/>
                  </w14:solidFill>
                </w14:textFill>
              </w:rPr>
              <w:t>数</w:t>
            </w:r>
            <w:r>
              <w:rPr>
                <w:rFonts w:hint="eastAsia" w:ascii="仿宋_GB2312" w:hAnsi="仿宋" w:eastAsia="仿宋_GB2312" w:cs="Arial Unicode MS"/>
                <w:b/>
                <w:bCs/>
                <w:color w:val="000000" w:themeColor="text1"/>
                <w:sz w:val="24"/>
                <w:szCs w:val="24"/>
                <w14:textFill>
                  <w14:solidFill>
                    <w14:schemeClr w14:val="tx1"/>
                  </w14:solidFill>
                </w14:textFill>
              </w:rPr>
              <w:t>额）</w:t>
            </w:r>
          </w:p>
        </w:tc>
        <w:tc>
          <w:tcPr>
            <w:tcW w:w="2138" w:type="dxa"/>
            <w:tcBorders>
              <w:right w:val="single" w:color="000000" w:sz="4" w:space="0"/>
            </w:tcBorders>
            <w:shd w:val="clear" w:color="000000" w:fill="D9D9D9"/>
          </w:tcPr>
          <w:p>
            <w:pPr>
              <w:snapToGrid w:val="0"/>
              <w:spacing w:line="480" w:lineRule="exact"/>
              <w:rPr>
                <w:rFonts w:hint="eastAsia"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核心一级资本净额</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16972028</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16750284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2</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一级资本</w:t>
            </w:r>
            <w:r>
              <w:rPr>
                <w:rFonts w:hint="eastAsia" w:ascii="仿宋_GB2312" w:hAnsi="仿宋" w:eastAsia="仿宋_GB2312" w:cs="Arial Unicode MS"/>
                <w:color w:val="000000" w:themeColor="text1"/>
                <w:sz w:val="24"/>
                <w:szCs w:val="24"/>
                <w:lang w:eastAsia="zh-CN"/>
                <w14:textFill>
                  <w14:solidFill>
                    <w14:schemeClr w14:val="tx1"/>
                  </w14:solidFill>
                </w14:textFill>
              </w:rPr>
              <w:t>净额</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16972455</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16750693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3</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资本</w:t>
            </w:r>
            <w:r>
              <w:rPr>
                <w:rFonts w:hint="eastAsia" w:ascii="仿宋_GB2312" w:hAnsi="仿宋" w:eastAsia="仿宋_GB2312" w:cs="Arial Unicode MS"/>
                <w:color w:val="000000" w:themeColor="text1"/>
                <w:sz w:val="24"/>
                <w:szCs w:val="24"/>
                <w:lang w:eastAsia="zh-CN"/>
                <w14:textFill>
                  <w14:solidFill>
                    <w14:schemeClr w14:val="tx1"/>
                  </w14:solidFill>
                </w14:textFill>
              </w:rPr>
              <w:t>净额</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20342455</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20076198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4329"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000000" w:fill="D9D9D9"/>
            <w:vAlign w:val="bottom"/>
          </w:tcPr>
          <w:p>
            <w:pPr>
              <w:jc w:val="right"/>
              <w:rPr>
                <w:rFonts w:hint="default" w:ascii="Arial" w:hAnsi="Arial" w:cs="Arial"/>
                <w:sz w:val="24"/>
                <w:szCs w:val="24"/>
              </w:rPr>
            </w:pPr>
          </w:p>
        </w:tc>
        <w:tc>
          <w:tcPr>
            <w:tcW w:w="2138" w:type="dxa"/>
            <w:tcBorders>
              <w:right w:val="single" w:color="000000" w:sz="4" w:space="0"/>
            </w:tcBorders>
            <w:shd w:val="clear" w:color="000000" w:fill="D9D9D9"/>
            <w:vAlign w:val="bottom"/>
          </w:tcPr>
          <w:p>
            <w:pPr>
              <w:jc w:val="right"/>
              <w:rPr>
                <w:rFonts w:hint="default" w:ascii="Arial" w:hAnsi="Arial" w:cs="Arial"/>
                <w:sz w:val="24"/>
                <w:szCs w:val="24"/>
              </w:rPr>
            </w:pPr>
          </w:p>
        </w:tc>
      </w:tr>
      <w:tr>
        <w:tblPrEx>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4</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风险加权资产</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157631067</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153505147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trPr>
        <w:tc>
          <w:tcPr>
            <w:tcW w:w="4329"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000000" w:fill="D9D9D9"/>
            <w:vAlign w:val="bottom"/>
          </w:tcPr>
          <w:p>
            <w:pPr>
              <w:jc w:val="right"/>
              <w:rPr>
                <w:rFonts w:hint="default" w:ascii="Arial" w:hAnsi="Arial" w:cs="Arial"/>
                <w:sz w:val="24"/>
                <w:szCs w:val="24"/>
              </w:rPr>
            </w:pPr>
          </w:p>
        </w:tc>
        <w:tc>
          <w:tcPr>
            <w:tcW w:w="2138" w:type="dxa"/>
            <w:tcBorders>
              <w:right w:val="single" w:color="000000" w:sz="4" w:space="0"/>
            </w:tcBorders>
            <w:shd w:val="clear" w:color="000000" w:fill="D9D9D9"/>
            <w:vAlign w:val="bottom"/>
          </w:tcPr>
          <w:p>
            <w:pPr>
              <w:jc w:val="right"/>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5</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核心一级资本充足率（</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10.77</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10.91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6</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一级资本充足率（</w:t>
            </w:r>
            <w:r>
              <w:rPr>
                <w:rFonts w:ascii="仿宋_GB2312" w:hAnsi="仿宋" w:eastAsia="仿宋_GB2312" w:cs="Arial Unicode MS"/>
                <w:color w:val="000000" w:themeColor="text1"/>
                <w:sz w:val="24"/>
                <w:szCs w:val="24"/>
                <w14:textFill>
                  <w14:solidFill>
                    <w14:schemeClr w14:val="tx1"/>
                  </w14:solidFill>
                </w14:textFill>
              </w:rPr>
              <w:t>%）</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10.77</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10.91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7</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资本充足率（</w:t>
            </w:r>
            <w:r>
              <w:rPr>
                <w:rFonts w:ascii="仿宋_GB2312" w:hAnsi="仿宋" w:eastAsia="仿宋_GB2312" w:cs="Arial Unicode MS"/>
                <w:color w:val="000000" w:themeColor="text1"/>
                <w:sz w:val="24"/>
                <w:szCs w:val="24"/>
                <w14:textFill>
                  <w14:solidFill>
                    <w14:schemeClr w14:val="tx1"/>
                  </w14:solidFill>
                </w14:textFill>
              </w:rPr>
              <w:t>%）</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12.91</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13.08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4329"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000000" w:fill="D9D9D9"/>
            <w:vAlign w:val="bottom"/>
          </w:tcPr>
          <w:p>
            <w:pPr>
              <w:jc w:val="right"/>
              <w:rPr>
                <w:rFonts w:hint="default" w:ascii="Arial" w:hAnsi="Arial" w:cs="Arial"/>
                <w:sz w:val="24"/>
                <w:szCs w:val="24"/>
              </w:rPr>
            </w:pPr>
          </w:p>
        </w:tc>
        <w:tc>
          <w:tcPr>
            <w:tcW w:w="2138" w:type="dxa"/>
            <w:tcBorders>
              <w:right w:val="single" w:color="000000" w:sz="4" w:space="0"/>
            </w:tcBorders>
            <w:shd w:val="clear" w:color="000000" w:fill="D9D9D9"/>
            <w:vAlign w:val="bottom"/>
          </w:tcPr>
          <w:p>
            <w:pPr>
              <w:jc w:val="right"/>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8</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储备资本要求</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2.50</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9</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逆周期资本要求（</w:t>
            </w:r>
            <w:r>
              <w:rPr>
                <w:rFonts w:ascii="仿宋_GB2312" w:hAnsi="仿宋" w:eastAsia="仿宋_GB2312" w:cs="Arial Unicode MS"/>
                <w:color w:val="000000" w:themeColor="text1"/>
                <w:sz w:val="24"/>
                <w:szCs w:val="24"/>
                <w14:textFill>
                  <w14:solidFill>
                    <w14:schemeClr w14:val="tx1"/>
                  </w14:solidFill>
                </w14:textFill>
              </w:rPr>
              <w:t>%）</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0.00</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637" w:type="dxa"/>
            <w:tcBorders>
              <w:left w:val="single" w:color="000000" w:sz="4" w:space="0"/>
            </w:tcBorders>
            <w:shd w:val="clear" w:color="auto" w:fill="auto"/>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10</w:t>
            </w:r>
          </w:p>
        </w:tc>
        <w:tc>
          <w:tcPr>
            <w:tcW w:w="3692" w:type="dxa"/>
            <w:shd w:val="clear" w:color="auto" w:fill="auto"/>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全球系统重要性银行或国内系统重要性银行附加资本要求（</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shd w:val="clear" w:color="auto" w:fill="BEBEBE"/>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0.00</w:t>
            </w:r>
          </w:p>
        </w:tc>
        <w:tc>
          <w:tcPr>
            <w:tcW w:w="2138" w:type="dxa"/>
            <w:tcBorders>
              <w:right w:val="single" w:color="000000" w:sz="4" w:space="0"/>
            </w:tcBorders>
            <w:shd w:val="clear" w:color="auto" w:fill="BEBEBE"/>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11</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其他各级资本要求（</w:t>
            </w:r>
            <w:r>
              <w:rPr>
                <w:rFonts w:ascii="仿宋_GB2312" w:hAnsi="仿宋" w:eastAsia="仿宋_GB2312" w:cs="Arial Unicode MS"/>
                <w:color w:val="000000" w:themeColor="text1"/>
                <w:sz w:val="24"/>
                <w:szCs w:val="24"/>
                <w:lang w:eastAsia="zh-CN"/>
                <w14:textFill>
                  <w14:solidFill>
                    <w14:schemeClr w14:val="tx1"/>
                  </w14:solidFill>
                </w14:textFill>
              </w:rPr>
              <w:t>%）（8+9+10）</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2.50</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12</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满足最低资本要求后的可用核心一级资本净额占风险加权资产的比例（</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5.77</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5.91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3" w:hRule="atLeast"/>
        </w:trPr>
        <w:tc>
          <w:tcPr>
            <w:tcW w:w="4329"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000000" w:fill="D9D9D9"/>
            <w:vAlign w:val="bottom"/>
          </w:tcPr>
          <w:p>
            <w:pPr>
              <w:jc w:val="right"/>
              <w:rPr>
                <w:rFonts w:hint="default" w:ascii="Arial" w:hAnsi="Arial" w:cs="Arial"/>
                <w:sz w:val="24"/>
                <w:szCs w:val="24"/>
              </w:rPr>
            </w:pPr>
          </w:p>
        </w:tc>
        <w:tc>
          <w:tcPr>
            <w:tcW w:w="2138" w:type="dxa"/>
            <w:tcBorders>
              <w:right w:val="single" w:color="000000" w:sz="4" w:space="0"/>
            </w:tcBorders>
            <w:shd w:val="clear" w:color="000000" w:fill="D9D9D9"/>
            <w:vAlign w:val="bottom"/>
          </w:tcPr>
          <w:p>
            <w:pPr>
              <w:jc w:val="right"/>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13</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调整后表内外资产余额</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255228499</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249875809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14</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lang w:eastAsia="zh-CN"/>
                <w14:textFill>
                  <w14:solidFill>
                    <w14:schemeClr w14:val="tx1"/>
                  </w14:solidFill>
                </w14:textFill>
              </w:rPr>
              <w:t>杠杆率</w:t>
            </w:r>
            <w:r>
              <w:rPr>
                <w:rFonts w:hint="eastAsia" w:ascii="仿宋_GB2312" w:hAnsi="仿宋" w:eastAsia="仿宋_GB2312" w:cs="Arial Unicode MS"/>
                <w:color w:val="000000" w:themeColor="text1"/>
                <w:sz w:val="24"/>
                <w:szCs w:val="24"/>
                <w:lang w:eastAsia="zh-CN"/>
                <w14:textFill>
                  <w14:solidFill>
                    <w14:schemeClr w14:val="tx1"/>
                  </w14:solidFill>
                </w14:textFill>
              </w:rPr>
              <w:t>（</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6.65</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6.70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1</w:t>
            </w:r>
            <w:r>
              <w:rPr>
                <w:rFonts w:ascii="仿宋_GB2312" w:hAnsi="仿宋" w:eastAsia="仿宋_GB2312" w:cs="Arial Unicode MS"/>
                <w:color w:val="000000" w:themeColor="text1"/>
                <w:sz w:val="24"/>
                <w:szCs w:val="24"/>
                <w:lang w:eastAsia="zh-CN"/>
                <w14:textFill>
                  <w14:solidFill>
                    <w14:schemeClr w14:val="tx1"/>
                  </w14:solidFill>
                </w14:textFill>
              </w:rPr>
              <w:t>4</w:t>
            </w:r>
            <w:r>
              <w:rPr>
                <w:rFonts w:hint="eastAsia" w:ascii="仿宋_GB2312" w:hAnsi="仿宋" w:eastAsia="仿宋_GB2312" w:cs="Arial Unicode MS"/>
                <w:color w:val="000000" w:themeColor="text1"/>
                <w:sz w:val="24"/>
                <w:szCs w:val="24"/>
                <w:lang w:eastAsia="zh-CN"/>
                <w14:textFill>
                  <w14:solidFill>
                    <w14:schemeClr w14:val="tx1"/>
                  </w14:solidFill>
                </w14:textFill>
              </w:rPr>
              <w:t>a</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lang w:eastAsia="zh-CN"/>
                <w14:textFill>
                  <w14:solidFill>
                    <w14:schemeClr w14:val="tx1"/>
                  </w14:solidFill>
                </w14:textFill>
              </w:rPr>
              <w:t>杠杆率a</w:t>
            </w:r>
            <w:r>
              <w:rPr>
                <w:rFonts w:hint="eastAsia" w:ascii="仿宋_GB2312" w:hAnsi="仿宋" w:eastAsia="仿宋_GB2312" w:cs="Arial Unicode MS"/>
                <w:color w:val="000000" w:themeColor="text1"/>
                <w:sz w:val="24"/>
                <w:szCs w:val="24"/>
                <w:lang w:eastAsia="zh-CN"/>
                <w14:textFill>
                  <w14:solidFill>
                    <w14:schemeClr w14:val="tx1"/>
                  </w14:solidFill>
                </w14:textFill>
              </w:rPr>
              <w:t>（</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6.65</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6.70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329"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000000" w:fill="D9D9D9"/>
            <w:vAlign w:val="bottom"/>
          </w:tcPr>
          <w:p>
            <w:pPr>
              <w:jc w:val="right"/>
              <w:rPr>
                <w:rFonts w:hint="default" w:ascii="Arial" w:hAnsi="Arial" w:cs="Arial"/>
                <w:sz w:val="24"/>
                <w:szCs w:val="24"/>
              </w:rPr>
            </w:pPr>
          </w:p>
        </w:tc>
        <w:tc>
          <w:tcPr>
            <w:tcW w:w="2138" w:type="dxa"/>
            <w:tcBorders>
              <w:right w:val="single" w:color="000000" w:sz="4" w:space="0"/>
            </w:tcBorders>
            <w:shd w:val="clear" w:color="000000" w:fill="D9D9D9"/>
            <w:vAlign w:val="bottom"/>
          </w:tcPr>
          <w:p>
            <w:pPr>
              <w:jc w:val="right"/>
              <w:rPr>
                <w:rFonts w:hint="default" w:ascii="Arial" w:hAnsi="Arial" w:cs="Arial"/>
                <w:sz w:val="24"/>
                <w:szCs w:val="24"/>
              </w:rPr>
            </w:pPr>
          </w:p>
        </w:tc>
      </w:tr>
      <w:tr>
        <w:tblPrEx>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15</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合格优质流动性资产</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26201059</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20903783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16</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现金净流出</w:t>
            </w:r>
            <w:r>
              <w:rPr>
                <w:rFonts w:hint="eastAsia" w:ascii="仿宋_GB2312" w:hAnsi="仿宋" w:eastAsia="仿宋_GB2312" w:cs="Arial Unicode MS"/>
                <w:color w:val="000000" w:themeColor="text1"/>
                <w:sz w:val="24"/>
                <w:szCs w:val="24"/>
                <w:lang w:eastAsia="zh-CN"/>
                <w14:textFill>
                  <w14:solidFill>
                    <w14:schemeClr w14:val="tx1"/>
                  </w14:solidFill>
                </w14:textFill>
              </w:rPr>
              <w:t>量</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23401770</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15814510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17</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流动性覆盖率（</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111.96</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132.18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329"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000000" w:fill="D9D9D9"/>
            <w:vAlign w:val="bottom"/>
          </w:tcPr>
          <w:p>
            <w:pPr>
              <w:jc w:val="right"/>
              <w:rPr>
                <w:rFonts w:hint="default" w:ascii="Arial" w:hAnsi="Arial" w:cs="Arial"/>
                <w:sz w:val="24"/>
                <w:szCs w:val="24"/>
              </w:rPr>
            </w:pPr>
          </w:p>
        </w:tc>
        <w:tc>
          <w:tcPr>
            <w:tcW w:w="2138" w:type="dxa"/>
            <w:tcBorders>
              <w:right w:val="single" w:color="000000" w:sz="4" w:space="0"/>
            </w:tcBorders>
            <w:shd w:val="clear" w:color="000000" w:fill="D9D9D9"/>
            <w:vAlign w:val="bottom"/>
          </w:tcPr>
          <w:p>
            <w:pPr>
              <w:jc w:val="right"/>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18</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可用稳定资金</w:t>
            </w:r>
            <w:r>
              <w:rPr>
                <w:rFonts w:hint="eastAsia" w:ascii="仿宋_GB2312" w:hAnsi="仿宋" w:eastAsia="仿宋_GB2312" w:cs="Arial Unicode MS"/>
                <w:color w:val="000000" w:themeColor="text1"/>
                <w:sz w:val="24"/>
                <w:szCs w:val="24"/>
                <w:lang w:eastAsia="zh-CN"/>
                <w14:textFill>
                  <w14:solidFill>
                    <w14:schemeClr w14:val="tx1"/>
                  </w14:solidFill>
                </w14:textFill>
              </w:rPr>
              <w:t>合计</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161884661</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154947945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19</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所需</w:t>
            </w:r>
            <w:r>
              <w:rPr>
                <w:rFonts w:hint="eastAsia" w:ascii="仿宋_GB2312" w:hAnsi="仿宋" w:eastAsia="仿宋_GB2312" w:cs="Arial Unicode MS"/>
                <w:color w:val="000000" w:themeColor="text1"/>
                <w:sz w:val="24"/>
                <w:szCs w:val="24"/>
                <w14:textFill>
                  <w14:solidFill>
                    <w14:schemeClr w14:val="tx1"/>
                  </w14:solidFill>
                </w14:textFill>
              </w:rPr>
              <w:t>稳定资金</w:t>
            </w:r>
            <w:r>
              <w:rPr>
                <w:rFonts w:hint="eastAsia" w:ascii="仿宋_GB2312" w:hAnsi="仿宋" w:eastAsia="仿宋_GB2312" w:cs="Arial Unicode MS"/>
                <w:color w:val="000000" w:themeColor="text1"/>
                <w:sz w:val="24"/>
                <w:szCs w:val="24"/>
                <w:lang w:eastAsia="zh-CN"/>
                <w14:textFill>
                  <w14:solidFill>
                    <w14:schemeClr w14:val="tx1"/>
                  </w14:solidFill>
                </w14:textFill>
              </w:rPr>
              <w:t>合计</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101524266</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95319082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20</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净稳定资金比例（</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159.45</w:t>
            </w:r>
          </w:p>
        </w:tc>
        <w:tc>
          <w:tcPr>
            <w:tcW w:w="2138" w:type="dxa"/>
            <w:tcBorders>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162.56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329" w:type="dxa"/>
            <w:gridSpan w:val="2"/>
            <w:tcBorders>
              <w:left w:val="single" w:color="000000" w:sz="4" w:space="0"/>
            </w:tcBorders>
            <w:shd w:val="clear" w:color="auto" w:fill="D8D8D8"/>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auto" w:fill="D8D8D8"/>
            <w:vAlign w:val="bottom"/>
          </w:tcPr>
          <w:p>
            <w:pPr>
              <w:jc w:val="right"/>
              <w:rPr>
                <w:rFonts w:hint="default" w:ascii="Arial" w:hAnsi="Arial" w:cs="Arial"/>
                <w:sz w:val="24"/>
                <w:szCs w:val="24"/>
              </w:rPr>
            </w:pPr>
          </w:p>
        </w:tc>
        <w:tc>
          <w:tcPr>
            <w:tcW w:w="2138" w:type="dxa"/>
            <w:tcBorders>
              <w:right w:val="single" w:color="000000" w:sz="4" w:space="0"/>
            </w:tcBorders>
            <w:shd w:val="clear" w:color="auto" w:fill="D8D8D8"/>
            <w:vAlign w:val="bottom"/>
          </w:tcPr>
          <w:p>
            <w:pPr>
              <w:jc w:val="right"/>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bottom w:val="single" w:color="000000" w:sz="4" w:space="0"/>
            </w:tcBorders>
            <w:shd w:val="clear" w:color="auto" w:fill="FFFFFF"/>
            <w:vAlign w:val="center"/>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ascii="仿宋_GB2312" w:hAnsi="仿宋" w:eastAsia="仿宋_GB2312" w:cs="Arial Unicode MS"/>
                <w:color w:val="000000" w:themeColor="text1"/>
                <w:sz w:val="24"/>
                <w:szCs w:val="24"/>
                <w:lang w:eastAsia="zh-CN"/>
                <w14:textFill>
                  <w14:solidFill>
                    <w14:schemeClr w14:val="tx1"/>
                  </w14:solidFill>
                </w14:textFill>
              </w:rPr>
              <w:t>21</w:t>
            </w:r>
          </w:p>
        </w:tc>
        <w:tc>
          <w:tcPr>
            <w:tcW w:w="3692" w:type="dxa"/>
            <w:tcBorders>
              <w:bottom w:val="single" w:color="000000" w:sz="4" w:space="0"/>
            </w:tcBorders>
            <w:shd w:val="clear" w:color="auto" w:fill="FFFFFF"/>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流动性比例（</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tcBorders>
              <w:bottom w:val="single" w:color="000000" w:sz="4" w:space="0"/>
            </w:tcBorders>
            <w:shd w:val="clear" w:color="auto" w:fill="FFFFFF"/>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94.84</w:t>
            </w:r>
          </w:p>
        </w:tc>
        <w:tc>
          <w:tcPr>
            <w:tcW w:w="2138" w:type="dxa"/>
            <w:tcBorders>
              <w:bottom w:val="single" w:color="000000" w:sz="4" w:space="0"/>
              <w:right w:val="single" w:color="000000" w:sz="4" w:space="0"/>
            </w:tcBorders>
            <w:shd w:val="clear" w:color="auto" w:fill="FFFFFF"/>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97.17</w:t>
            </w: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附表二：OV1风险加权资产概况</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527" w:type="dxa"/>
        <w:tblInd w:w="0" w:type="dxa"/>
        <w:tblLayout w:type="fixed"/>
        <w:tblCellMar>
          <w:top w:w="0" w:type="dxa"/>
          <w:left w:w="108" w:type="dxa"/>
          <w:bottom w:w="0" w:type="dxa"/>
          <w:right w:w="108" w:type="dxa"/>
        </w:tblCellMar>
      </w:tblPr>
      <w:tblGrid>
        <w:gridCol w:w="478"/>
        <w:gridCol w:w="1811"/>
        <w:gridCol w:w="2079"/>
        <w:gridCol w:w="2136"/>
        <w:gridCol w:w="2022"/>
        <w:gridCol w:w="1"/>
      </w:tblGrid>
      <w:tr>
        <w:tblPrEx>
          <w:tblLayout w:type="fixed"/>
          <w:tblCellMar>
            <w:top w:w="0" w:type="dxa"/>
            <w:left w:w="108" w:type="dxa"/>
            <w:bottom w:w="0" w:type="dxa"/>
            <w:right w:w="108" w:type="dxa"/>
          </w:tblCellMar>
        </w:tblPrEx>
        <w:trPr>
          <w:gridAfter w:val="1"/>
          <w:wAfter w:w="1" w:type="dxa"/>
          <w:trHeight w:val="330" w:hRule="atLeast"/>
        </w:trPr>
        <w:tc>
          <w:tcPr>
            <w:tcW w:w="2289" w:type="dxa"/>
            <w:gridSpan w:val="2"/>
            <w:vMerge w:val="restart"/>
            <w:tcBorders>
              <w:top w:val="single" w:color="000000" w:sz="4" w:space="0"/>
              <w:left w:val="single" w:color="000000" w:sz="4" w:space="0"/>
              <w:right w:val="single" w:color="auto" w:sz="4" w:space="0"/>
            </w:tcBorders>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tc>
        <w:tc>
          <w:tcPr>
            <w:tcW w:w="2079" w:type="dxa"/>
            <w:tcBorders>
              <w:top w:val="single" w:color="000000" w:sz="4" w:space="0"/>
              <w:left w:val="nil"/>
              <w:bottom w:val="single" w:color="auto" w:sz="4" w:space="0"/>
              <w:righ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a</w:t>
            </w:r>
          </w:p>
        </w:tc>
        <w:tc>
          <w:tcPr>
            <w:tcW w:w="2136" w:type="dxa"/>
            <w:tcBorders>
              <w:top w:val="single" w:color="000000" w:sz="4" w:space="0"/>
              <w:left w:val="single" w:color="auto" w:sz="4" w:space="0"/>
              <w:bottom w:val="single" w:color="auto" w:sz="4" w:space="0"/>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b</w:t>
            </w:r>
          </w:p>
        </w:tc>
        <w:tc>
          <w:tcPr>
            <w:tcW w:w="2022" w:type="dxa"/>
            <w:tcBorders>
              <w:top w:val="single" w:color="000000" w:sz="4" w:space="0"/>
              <w:left w:val="single" w:color="auto" w:sz="4" w:space="0"/>
              <w:bottom w:val="single" w:color="auto" w:sz="4" w:space="0"/>
              <w:righ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c</w:t>
            </w:r>
          </w:p>
        </w:tc>
      </w:tr>
      <w:tr>
        <w:tblPrEx>
          <w:tblLayout w:type="fixed"/>
          <w:tblCellMar>
            <w:top w:w="0" w:type="dxa"/>
            <w:left w:w="108" w:type="dxa"/>
            <w:bottom w:w="0" w:type="dxa"/>
            <w:right w:w="108" w:type="dxa"/>
          </w:tblCellMar>
        </w:tblPrEx>
        <w:trPr>
          <w:gridAfter w:val="1"/>
          <w:wAfter w:w="1" w:type="dxa"/>
          <w:trHeight w:val="330" w:hRule="atLeast"/>
        </w:trPr>
        <w:tc>
          <w:tcPr>
            <w:tcW w:w="2289" w:type="dxa"/>
            <w:gridSpan w:val="2"/>
            <w:vMerge w:val="continue"/>
            <w:tcBorders>
              <w:left w:val="single" w:color="000000" w:sz="4" w:space="0"/>
              <w:right w:val="single" w:color="auto" w:sz="4" w:space="0"/>
            </w:tcBorders>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p>
        </w:tc>
        <w:tc>
          <w:tcPr>
            <w:tcW w:w="4215" w:type="dxa"/>
            <w:gridSpan w:val="2"/>
            <w:tcBorders>
              <w:top w:val="single" w:color="auto" w:sz="4" w:space="0"/>
              <w:left w:val="nil"/>
              <w:bottom w:val="single" w:color="auto" w:sz="4" w:space="0"/>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风险加权资产</w:t>
            </w:r>
          </w:p>
        </w:tc>
        <w:tc>
          <w:tcPr>
            <w:tcW w:w="2022" w:type="dxa"/>
            <w:tcBorders>
              <w:top w:val="single" w:color="auto" w:sz="4" w:space="0"/>
              <w:left w:val="single" w:color="auto" w:sz="4" w:space="0"/>
              <w:bottom w:val="single" w:color="auto" w:sz="4" w:space="0"/>
              <w:right w:val="single" w:color="000000" w:sz="4" w:space="0"/>
            </w:tcBorders>
            <w:vAlign w:val="center"/>
          </w:tcPr>
          <w:p>
            <w:pPr>
              <w:snapToGrid w:val="0"/>
              <w:spacing w:line="480" w:lineRule="exact"/>
              <w:ind w:left="-295" w:firstLine="295"/>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最低资本要求</w:t>
            </w:r>
          </w:p>
        </w:tc>
      </w:tr>
      <w:tr>
        <w:tblPrEx>
          <w:tblLayout w:type="fixed"/>
          <w:tblCellMar>
            <w:top w:w="0" w:type="dxa"/>
            <w:left w:w="108" w:type="dxa"/>
            <w:bottom w:w="0" w:type="dxa"/>
            <w:right w:w="108" w:type="dxa"/>
          </w:tblCellMar>
        </w:tblPrEx>
        <w:trPr>
          <w:gridAfter w:val="1"/>
          <w:wAfter w:w="1" w:type="dxa"/>
          <w:trHeight w:val="330" w:hRule="atLeast"/>
        </w:trPr>
        <w:tc>
          <w:tcPr>
            <w:tcW w:w="2289" w:type="dxa"/>
            <w:gridSpan w:val="2"/>
            <w:vMerge w:val="continue"/>
            <w:tcBorders>
              <w:left w:val="single" w:color="000000" w:sz="4" w:space="0"/>
              <w:bottom w:val="single" w:color="auto" w:sz="4" w:space="0"/>
              <w:right w:val="single" w:color="auto" w:sz="4" w:space="0"/>
            </w:tcBorders>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p>
        </w:tc>
        <w:tc>
          <w:tcPr>
            <w:tcW w:w="2079" w:type="dxa"/>
            <w:tcBorders>
              <w:top w:val="nil"/>
              <w:left w:val="nil"/>
              <w:bottom w:val="single" w:color="auto" w:sz="4" w:space="0"/>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2025年3月31日</w:t>
            </w:r>
          </w:p>
        </w:tc>
        <w:tc>
          <w:tcPr>
            <w:tcW w:w="2136" w:type="dxa"/>
            <w:tcBorders>
              <w:top w:val="single" w:color="auto" w:sz="4" w:space="0"/>
              <w:left w:val="single" w:color="auto" w:sz="4" w:space="0"/>
              <w:bottom w:val="single" w:color="auto" w:sz="4" w:space="0"/>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2024年12月31日</w:t>
            </w:r>
          </w:p>
        </w:tc>
        <w:tc>
          <w:tcPr>
            <w:tcW w:w="2022" w:type="dxa"/>
            <w:tcBorders>
              <w:top w:val="single" w:color="auto" w:sz="4" w:space="0"/>
              <w:left w:val="single" w:color="auto" w:sz="4" w:space="0"/>
              <w:bottom w:val="single" w:color="auto" w:sz="4" w:space="0"/>
              <w:righ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2025年3月31日</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auto"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w:t>
            </w:r>
          </w:p>
        </w:tc>
        <w:tc>
          <w:tcPr>
            <w:tcW w:w="1811" w:type="dxa"/>
            <w:tcBorders>
              <w:top w:val="nil"/>
              <w:left w:val="single" w:color="auto" w:sz="4" w:space="0"/>
              <w:bottom w:val="single" w:color="auto" w:sz="4" w:space="0"/>
              <w:right w:val="single" w:color="auto" w:sz="4" w:space="0"/>
            </w:tcBorders>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信用风险</w:t>
            </w:r>
          </w:p>
        </w:tc>
        <w:tc>
          <w:tcPr>
            <w:tcW w:w="2079"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147701544</w:t>
            </w:r>
          </w:p>
        </w:tc>
        <w:tc>
          <w:tcPr>
            <w:tcW w:w="2136" w:type="dxa"/>
            <w:tcBorders>
              <w:top w:val="single" w:color="auto" w:sz="4" w:space="0"/>
              <w:left w:val="single" w:color="auto" w:sz="4" w:space="0"/>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145125960</w:t>
            </w:r>
          </w:p>
        </w:tc>
        <w:tc>
          <w:tcPr>
            <w:tcW w:w="2023"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11816124</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auto"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ascii="仿宋_GB2312" w:hAnsi="仿宋" w:eastAsia="仿宋_GB2312" w:cs="Arial Unicode MS"/>
                <w:color w:val="000000" w:themeColor="text1"/>
                <w:sz w:val="24"/>
                <w:szCs w:val="24"/>
                <w:lang w:eastAsia="zh-CN"/>
                <w14:textFill>
                  <w14:solidFill>
                    <w14:schemeClr w14:val="tx1"/>
                  </w14:solidFill>
                </w14:textFill>
              </w:rPr>
              <w:t>2</w:t>
            </w:r>
          </w:p>
        </w:tc>
        <w:tc>
          <w:tcPr>
            <w:tcW w:w="1811" w:type="dxa"/>
            <w:tcBorders>
              <w:top w:val="nil"/>
              <w:left w:val="single" w:color="auto" w:sz="4" w:space="0"/>
              <w:bottom w:val="single" w:color="auto" w:sz="4" w:space="0"/>
              <w:right w:val="single" w:color="auto" w:sz="4" w:space="0"/>
            </w:tcBorders>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市场风险</w:t>
            </w:r>
          </w:p>
        </w:tc>
        <w:tc>
          <w:tcPr>
            <w:tcW w:w="2079"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2461745</w:t>
            </w:r>
          </w:p>
        </w:tc>
        <w:tc>
          <w:tcPr>
            <w:tcW w:w="2136" w:type="dxa"/>
            <w:tcBorders>
              <w:top w:val="single" w:color="auto" w:sz="4" w:space="0"/>
              <w:left w:val="single" w:color="auto" w:sz="4" w:space="0"/>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911410</w:t>
            </w:r>
          </w:p>
        </w:tc>
        <w:tc>
          <w:tcPr>
            <w:tcW w:w="2023"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196940</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auto"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ascii="仿宋_GB2312" w:hAnsi="仿宋" w:eastAsia="仿宋_GB2312" w:cs="Arial Unicode MS"/>
                <w:color w:val="000000" w:themeColor="text1"/>
                <w:sz w:val="24"/>
                <w:szCs w:val="24"/>
                <w:lang w:eastAsia="zh-CN"/>
                <w14:textFill>
                  <w14:solidFill>
                    <w14:schemeClr w14:val="tx1"/>
                  </w14:solidFill>
                </w14:textFill>
              </w:rPr>
              <w:t>3</w:t>
            </w:r>
          </w:p>
        </w:tc>
        <w:tc>
          <w:tcPr>
            <w:tcW w:w="1811" w:type="dxa"/>
            <w:tcBorders>
              <w:top w:val="nil"/>
              <w:left w:val="single" w:color="auto" w:sz="4" w:space="0"/>
              <w:bottom w:val="single" w:color="auto" w:sz="4" w:space="0"/>
              <w:right w:val="single" w:color="auto" w:sz="4" w:space="0"/>
            </w:tcBorders>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操作风险</w:t>
            </w:r>
          </w:p>
        </w:tc>
        <w:tc>
          <w:tcPr>
            <w:tcW w:w="2079"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7467778</w:t>
            </w:r>
          </w:p>
        </w:tc>
        <w:tc>
          <w:tcPr>
            <w:tcW w:w="2136" w:type="dxa"/>
            <w:tcBorders>
              <w:top w:val="single" w:color="auto" w:sz="4" w:space="0"/>
              <w:left w:val="single" w:color="auto" w:sz="4" w:space="0"/>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7467778</w:t>
            </w:r>
          </w:p>
        </w:tc>
        <w:tc>
          <w:tcPr>
            <w:tcW w:w="2023"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597422</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auto"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ascii="仿宋_GB2312" w:hAnsi="仿宋" w:eastAsia="仿宋_GB2312" w:cs="Arial Unicode MS"/>
                <w:color w:val="000000" w:themeColor="text1"/>
                <w:sz w:val="24"/>
                <w:szCs w:val="24"/>
                <w:lang w:eastAsia="zh-CN"/>
                <w14:textFill>
                  <w14:solidFill>
                    <w14:schemeClr w14:val="tx1"/>
                  </w14:solidFill>
                </w14:textFill>
              </w:rPr>
              <w:t>4</w:t>
            </w:r>
          </w:p>
        </w:tc>
        <w:tc>
          <w:tcPr>
            <w:tcW w:w="1811" w:type="dxa"/>
            <w:tcBorders>
              <w:top w:val="nil"/>
              <w:left w:val="single" w:color="auto" w:sz="4" w:space="0"/>
              <w:bottom w:val="single" w:color="auto" w:sz="4" w:space="0"/>
              <w:right w:val="single" w:color="auto" w:sz="4" w:space="0"/>
            </w:tcBorders>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交易账簿和银行账簿间转换的资本要求</w:t>
            </w:r>
          </w:p>
        </w:tc>
        <w:tc>
          <w:tcPr>
            <w:tcW w:w="2079"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2136" w:type="dxa"/>
            <w:tcBorders>
              <w:top w:val="single" w:color="auto" w:sz="4" w:space="0"/>
              <w:left w:val="single" w:color="auto" w:sz="4" w:space="0"/>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c>
          <w:tcPr>
            <w:tcW w:w="2023"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000000"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5</w:t>
            </w:r>
          </w:p>
        </w:tc>
        <w:tc>
          <w:tcPr>
            <w:tcW w:w="1811" w:type="dxa"/>
            <w:tcBorders>
              <w:top w:val="nil"/>
              <w:left w:val="single" w:color="auto" w:sz="4" w:space="0"/>
              <w:bottom w:val="single" w:color="000000" w:sz="4" w:space="0"/>
              <w:right w:val="single" w:color="auto" w:sz="4" w:space="0"/>
            </w:tcBorders>
            <w:vAlign w:val="center"/>
          </w:tcPr>
          <w:p>
            <w:pPr>
              <w:snapToGrid w:val="0"/>
              <w:spacing w:line="480" w:lineRule="exact"/>
              <w:rPr>
                <w:rFonts w:ascii="仿宋_GB2312" w:hAnsi="仿宋" w:eastAsia="仿宋_GB2312" w:cs="Arial Unicode MS"/>
                <w:b/>
                <w:bCs/>
                <w:color w:val="000000" w:themeColor="text1"/>
                <w:sz w:val="24"/>
                <w:szCs w:val="24"/>
                <w:lang w:eastAsia="zh-CN"/>
                <w14:textFill>
                  <w14:solidFill>
                    <w14:schemeClr w14:val="tx1"/>
                  </w14:solidFill>
                </w14:textFill>
              </w:rPr>
            </w:pPr>
            <w:r>
              <w:rPr>
                <w:rFonts w:hint="eastAsia" w:ascii="仿宋_GB2312" w:hAnsi="仿宋" w:eastAsia="仿宋_GB2312" w:cs="Arial Unicode MS"/>
                <w:b/>
                <w:bCs/>
                <w:color w:val="000000" w:themeColor="text1"/>
                <w:sz w:val="24"/>
                <w:szCs w:val="24"/>
                <w:lang w:eastAsia="zh-CN"/>
                <w14:textFill>
                  <w14:solidFill>
                    <w14:schemeClr w14:val="tx1"/>
                  </w14:solidFill>
                </w14:textFill>
              </w:rPr>
              <w:t>合计</w:t>
            </w:r>
          </w:p>
        </w:tc>
        <w:tc>
          <w:tcPr>
            <w:tcW w:w="2079" w:type="dxa"/>
            <w:tcBorders>
              <w:top w:val="nil"/>
              <w:left w:val="nil"/>
              <w:bottom w:val="single" w:color="000000"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157631067</w:t>
            </w:r>
          </w:p>
        </w:tc>
        <w:tc>
          <w:tcPr>
            <w:tcW w:w="2136" w:type="dxa"/>
            <w:tcBorders>
              <w:top w:val="single" w:color="auto" w:sz="4" w:space="0"/>
              <w:left w:val="single" w:color="auto" w:sz="4" w:space="0"/>
              <w:bottom w:val="single" w:color="000000"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153505147</w:t>
            </w:r>
          </w:p>
        </w:tc>
        <w:tc>
          <w:tcPr>
            <w:tcW w:w="2023" w:type="dxa"/>
            <w:gridSpan w:val="2"/>
            <w:tcBorders>
              <w:top w:val="single" w:color="auto" w:sz="4" w:space="0"/>
              <w:left w:val="single" w:color="auto" w:sz="4" w:space="0"/>
              <w:bottom w:val="single" w:color="000000"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12610485</w:t>
            </w: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附表三：LR1杠杆率监管项目与相关会计项目的差异</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476" w:type="dxa"/>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
      <w:tblGrid>
        <w:gridCol w:w="559"/>
        <w:gridCol w:w="5985"/>
        <w:gridCol w:w="1932"/>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6" w:hRule="atLeast"/>
        </w:trPr>
        <w:tc>
          <w:tcPr>
            <w:tcW w:w="6544" w:type="dxa"/>
            <w:gridSpan w:val="2"/>
            <w:tcBorders>
              <w:top w:val="single" w:color="000000" w:sz="4" w:space="0"/>
              <w:left w:val="single" w:color="000000" w:sz="4" w:space="0"/>
              <w:bottom w:val="single" w:color="auto" w:sz="4" w:space="0"/>
              <w:right w:val="single" w:color="auto" w:sz="4" w:space="0"/>
            </w:tcBorders>
            <w:vAlign w:val="bottom"/>
          </w:tcPr>
          <w:p>
            <w:pPr>
              <w:snapToGrid w:val="0"/>
              <w:spacing w:line="480" w:lineRule="exact"/>
              <w:jc w:val="center"/>
              <w:rPr>
                <w:rFonts w:ascii="仿宋_GB2312" w:eastAsia="仿宋_GB2312" w:cs="宋体"/>
                <w:b/>
                <w:bCs/>
                <w:color w:val="000000" w:themeColor="text1"/>
                <w:sz w:val="24"/>
                <w:szCs w:val="24"/>
                <w:lang w:eastAsia="zh-CN"/>
                <w14:textFill>
                  <w14:solidFill>
                    <w14:schemeClr w14:val="tx1"/>
                  </w14:solidFill>
                </w14:textFill>
              </w:rPr>
            </w:pPr>
          </w:p>
        </w:tc>
        <w:tc>
          <w:tcPr>
            <w:tcW w:w="1932" w:type="dxa"/>
            <w:tcBorders>
              <w:top w:val="single" w:color="000000" w:sz="4" w:space="0"/>
              <w:left w:val="nil"/>
              <w:bottom w:val="single" w:color="auto" w:sz="4" w:space="0"/>
              <w:right w:val="single" w:color="000000" w:sz="4" w:space="0"/>
            </w:tcBorders>
            <w:vAlign w:val="bottom"/>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sz w:val="24"/>
                <w:szCs w:val="24"/>
                <w14:textFill>
                  <w14:solidFill>
                    <w14:schemeClr w14:val="tx1"/>
                  </w14:solidFill>
                </w14:textFill>
              </w:rPr>
              <w:t>a</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并表总资产</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221889802</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77"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2</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并表调整项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-484963</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67"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3</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客户资产调整项</w:t>
            </w:r>
          </w:p>
        </w:tc>
        <w:tc>
          <w:tcPr>
            <w:tcW w:w="1932" w:type="dxa"/>
            <w:tcBorders>
              <w:top w:val="nil"/>
              <w:left w:val="nil"/>
              <w:bottom w:val="single" w:color="auto" w:sz="4" w:space="0"/>
              <w:right w:val="single" w:color="000000" w:sz="4" w:space="0"/>
            </w:tcBorders>
            <w:vAlign w:val="bottom"/>
          </w:tcPr>
          <w:p>
            <w:pPr>
              <w:jc w:val="right"/>
              <w:rPr>
                <w:rFonts w:hint="default" w:ascii="Arial" w:hAnsi="Arial" w:eastAsia="仿宋_GB2312" w:cs="Arial"/>
                <w:color w:val="000000" w:themeColor="text1"/>
                <w:sz w:val="24"/>
                <w:szCs w:val="24"/>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43"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4</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衍生工具调整项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304864</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43"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5</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证券融资交易调整项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190559</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6</w:t>
            </w:r>
          </w:p>
        </w:tc>
        <w:tc>
          <w:tcPr>
            <w:tcW w:w="5985" w:type="dxa"/>
            <w:tcBorders>
              <w:top w:val="nil"/>
              <w:left w:val="nil"/>
              <w:bottom w:val="single" w:color="auto" w:sz="4" w:space="0"/>
              <w:right w:val="single" w:color="auto" w:sz="4" w:space="0"/>
            </w:tcBorders>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表外项目调整项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34371837</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7</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资产证券化交易调整项</w:t>
            </w:r>
          </w:p>
        </w:tc>
        <w:tc>
          <w:tcPr>
            <w:tcW w:w="1932" w:type="dxa"/>
            <w:tcBorders>
              <w:top w:val="nil"/>
              <w:left w:val="nil"/>
              <w:bottom w:val="single" w:color="auto" w:sz="4" w:space="0"/>
              <w:right w:val="single" w:color="000000" w:sz="4" w:space="0"/>
            </w:tcBorders>
            <w:vAlign w:val="bottom"/>
          </w:tcPr>
          <w:p>
            <w:pPr>
              <w:jc w:val="right"/>
              <w:rPr>
                <w:rFonts w:hint="default" w:ascii="Arial" w:hAnsi="Arial" w:eastAsia="仿宋_GB2312" w:cs="Arial"/>
                <w:color w:val="000000" w:themeColor="text1"/>
                <w:sz w:val="24"/>
                <w:szCs w:val="24"/>
                <w:lang w:eastAsia="zh-CN"/>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8</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未结算金融资产调整项</w:t>
            </w:r>
          </w:p>
        </w:tc>
        <w:tc>
          <w:tcPr>
            <w:tcW w:w="1932" w:type="dxa"/>
            <w:tcBorders>
              <w:top w:val="nil"/>
              <w:left w:val="nil"/>
              <w:bottom w:val="single" w:color="auto" w:sz="4" w:space="0"/>
              <w:right w:val="single" w:color="000000" w:sz="4" w:space="0"/>
            </w:tcBorders>
            <w:vAlign w:val="bottom"/>
          </w:tcPr>
          <w:p>
            <w:pPr>
              <w:jc w:val="right"/>
              <w:rPr>
                <w:rFonts w:hint="default" w:ascii="Arial" w:hAnsi="Arial" w:eastAsia="仿宋_GB2312" w:cs="Arial"/>
                <w:color w:val="000000" w:themeColor="text1"/>
                <w:sz w:val="24"/>
                <w:szCs w:val="24"/>
                <w:lang w:eastAsia="zh-CN"/>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04"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9</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现金池调整项</w:t>
            </w:r>
          </w:p>
        </w:tc>
        <w:tc>
          <w:tcPr>
            <w:tcW w:w="1932" w:type="dxa"/>
            <w:tcBorders>
              <w:top w:val="nil"/>
              <w:left w:val="nil"/>
              <w:bottom w:val="single" w:color="auto" w:sz="4" w:space="0"/>
              <w:right w:val="single" w:color="000000" w:sz="4" w:space="0"/>
            </w:tcBorders>
            <w:vAlign w:val="bottom"/>
          </w:tcPr>
          <w:p>
            <w:pPr>
              <w:jc w:val="right"/>
              <w:rPr>
                <w:rFonts w:hint="default" w:ascii="Arial" w:hAnsi="Arial" w:eastAsia="仿宋_GB2312" w:cs="Arial"/>
                <w:color w:val="000000" w:themeColor="text1"/>
                <w:sz w:val="24"/>
                <w:szCs w:val="24"/>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63"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10</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存款准备金调整项（如有）</w:t>
            </w:r>
          </w:p>
        </w:tc>
        <w:tc>
          <w:tcPr>
            <w:tcW w:w="1932" w:type="dxa"/>
            <w:tcBorders>
              <w:top w:val="nil"/>
              <w:left w:val="nil"/>
              <w:bottom w:val="single" w:color="auto" w:sz="4" w:space="0"/>
              <w:right w:val="single" w:color="000000" w:sz="4" w:space="0"/>
            </w:tcBorders>
            <w:vAlign w:val="bottom"/>
          </w:tcPr>
          <w:p>
            <w:pPr>
              <w:jc w:val="right"/>
              <w:rPr>
                <w:rFonts w:hint="default" w:ascii="Arial" w:hAnsi="Arial" w:eastAsia="仿宋_GB2312" w:cs="Arial"/>
                <w:color w:val="000000" w:themeColor="text1"/>
                <w:sz w:val="24"/>
                <w:szCs w:val="24"/>
                <w:lang w:eastAsia="zh-CN"/>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9"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11</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Segoe UI"/>
                <w:color w:val="000000" w:themeColor="text1"/>
                <w:sz w:val="24"/>
                <w:szCs w:val="24"/>
                <w:lang w:eastAsia="zh-CN"/>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审慎估值和减值准备调整项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-1043600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9"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12</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其他调整项</w:t>
            </w:r>
          </w:p>
        </w:tc>
        <w:tc>
          <w:tcPr>
            <w:tcW w:w="1932" w:type="dxa"/>
            <w:tcBorders>
              <w:top w:val="nil"/>
              <w:left w:val="nil"/>
              <w:bottom w:val="single" w:color="auto" w:sz="4" w:space="0"/>
              <w:right w:val="single" w:color="000000" w:sz="4" w:space="0"/>
            </w:tcBorders>
            <w:vAlign w:val="bottom"/>
          </w:tcPr>
          <w:p>
            <w:pPr>
              <w:jc w:val="right"/>
              <w:rPr>
                <w:rFonts w:hint="default" w:ascii="Arial" w:hAnsi="Arial" w:eastAsia="仿宋_GB2312" w:cs="Arial"/>
                <w:color w:val="000000" w:themeColor="text1"/>
                <w:sz w:val="24"/>
                <w:szCs w:val="24"/>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000000" w:sz="4" w:space="0"/>
              <w:right w:val="single" w:color="auto" w:sz="4" w:space="0"/>
            </w:tcBorders>
            <w:vAlign w:val="center"/>
          </w:tcPr>
          <w:p>
            <w:pPr>
              <w:snapToGrid w:val="0"/>
              <w:spacing w:line="480" w:lineRule="exact"/>
              <w:jc w:val="center"/>
              <w:rPr>
                <w:rFonts w:ascii="仿宋_GB2312" w:hAnsi="宋体" w:eastAsia="仿宋_GB2312" w:cs="宋体"/>
                <w:b/>
                <w:bCs/>
                <w:color w:val="000000" w:themeColor="text1"/>
                <w:sz w:val="24"/>
                <w:szCs w:val="24"/>
                <w14:textFill>
                  <w14:solidFill>
                    <w14:schemeClr w14:val="tx1"/>
                  </w14:solidFill>
                </w14:textFill>
              </w:rPr>
            </w:pPr>
            <w:r>
              <w:rPr>
                <w:rFonts w:ascii="仿宋_GB2312" w:hAnsi="宋体" w:eastAsia="仿宋_GB2312" w:cs="宋体"/>
                <w:b/>
                <w:bCs/>
                <w:color w:val="000000" w:themeColor="text1"/>
                <w:sz w:val="24"/>
                <w:szCs w:val="24"/>
                <w:lang w:eastAsia="zh-CN"/>
                <w14:textFill>
                  <w14:solidFill>
                    <w14:schemeClr w14:val="tx1"/>
                  </w14:solidFill>
                </w14:textFill>
              </w:rPr>
              <w:t>13</w:t>
            </w:r>
          </w:p>
        </w:tc>
        <w:tc>
          <w:tcPr>
            <w:tcW w:w="5985" w:type="dxa"/>
            <w:tcBorders>
              <w:top w:val="nil"/>
              <w:left w:val="nil"/>
              <w:bottom w:val="single" w:color="000000" w:sz="4" w:space="0"/>
              <w:right w:val="single" w:color="auto" w:sz="4" w:space="0"/>
            </w:tcBorders>
            <w:vAlign w:val="center"/>
          </w:tcPr>
          <w:p>
            <w:pPr>
              <w:snapToGrid w:val="0"/>
              <w:spacing w:line="480" w:lineRule="exact"/>
              <w:rPr>
                <w:rFonts w:ascii="仿宋_GB2312" w:eastAsia="仿宋_GB2312" w:cs="宋体"/>
                <w:b/>
                <w:bCs/>
                <w:color w:val="000000" w:themeColor="text1"/>
                <w:sz w:val="24"/>
                <w:szCs w:val="24"/>
                <w:lang w:eastAsia="zh-CN"/>
                <w14:textFill>
                  <w14:solidFill>
                    <w14:schemeClr w14:val="tx1"/>
                  </w14:solidFill>
                </w14:textFill>
              </w:rPr>
            </w:pPr>
            <w:r>
              <w:rPr>
                <w:rFonts w:hint="eastAsia" w:ascii="仿宋_GB2312" w:hAnsi="宋体" w:eastAsia="仿宋_GB2312" w:cs="宋体"/>
                <w:b/>
                <w:bCs/>
                <w:color w:val="000000" w:themeColor="text1"/>
                <w:sz w:val="24"/>
                <w:szCs w:val="24"/>
                <w:lang w:eastAsia="zh-CN"/>
                <w14:textFill>
                  <w14:solidFill>
                    <w14:schemeClr w14:val="tx1"/>
                  </w14:solidFill>
                </w14:textFill>
              </w:rPr>
              <w:t>调整后表内外资产余额</w:t>
            </w:r>
          </w:p>
        </w:tc>
        <w:tc>
          <w:tcPr>
            <w:tcW w:w="1932" w:type="dxa"/>
            <w:tcBorders>
              <w:top w:val="nil"/>
              <w:left w:val="nil"/>
              <w:bottom w:val="single" w:color="000000"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b/>
                <w:bC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255228499</w:t>
            </w: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附表四：LR2杠杆率</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522" w:type="dxa"/>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
      <w:tblGrid>
        <w:gridCol w:w="719"/>
        <w:gridCol w:w="4786"/>
        <w:gridCol w:w="1508"/>
        <w:gridCol w:w="2"/>
        <w:gridCol w:w="1507"/>
      </w:tblGrid>
      <w:tr>
        <w:tblPrEx>
          <w:tblLayout w:type="fixed"/>
          <w:tblCellMar>
            <w:top w:w="0" w:type="dxa"/>
            <w:left w:w="108" w:type="dxa"/>
            <w:bottom w:w="0" w:type="dxa"/>
            <w:right w:w="108" w:type="dxa"/>
          </w:tblCellMar>
        </w:tblPrEx>
        <w:trPr>
          <w:trHeight w:val="336" w:hRule="atLeast"/>
        </w:trPr>
        <w:tc>
          <w:tcPr>
            <w:tcW w:w="5505" w:type="dxa"/>
            <w:gridSpan w:val="2"/>
            <w:vMerge w:val="restart"/>
            <w:tcBorders>
              <w:top w:val="single" w:color="000000" w:sz="4" w:space="0"/>
              <w:left w:val="single" w:color="000000" w:sz="4" w:space="0"/>
              <w:bottom w:val="single" w:color="auto" w:sz="4" w:space="0"/>
              <w:right w:val="single" w:color="auto" w:sz="4" w:space="0"/>
            </w:tcBorders>
            <w:vAlign w:val="bottom"/>
          </w:tcPr>
          <w:p>
            <w:pPr>
              <w:snapToGrid w:val="0"/>
              <w:spacing w:line="480" w:lineRule="exact"/>
              <w:jc w:val="center"/>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　</w:t>
            </w:r>
          </w:p>
        </w:tc>
        <w:tc>
          <w:tcPr>
            <w:tcW w:w="1508" w:type="dxa"/>
            <w:tcBorders>
              <w:top w:val="single" w:color="000000" w:sz="4" w:space="0"/>
              <w:left w:val="nil"/>
              <w:bottom w:val="single" w:color="auto" w:sz="4" w:space="0"/>
              <w:right w:val="single" w:color="auto" w:sz="4" w:space="0"/>
            </w:tcBorders>
            <w:vAlign w:val="bottom"/>
          </w:tcPr>
          <w:p>
            <w:pPr>
              <w:snapToGrid w:val="0"/>
              <w:spacing w:line="480" w:lineRule="exact"/>
              <w:jc w:val="center"/>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sz w:val="24"/>
                <w:szCs w:val="24"/>
                <w:lang w:eastAsia="zh-CN"/>
                <w14:textFill>
                  <w14:solidFill>
                    <w14:schemeClr w14:val="tx1"/>
                  </w14:solidFill>
                </w14:textFill>
              </w:rPr>
              <w:t>a</w:t>
            </w:r>
          </w:p>
        </w:tc>
        <w:tc>
          <w:tcPr>
            <w:tcW w:w="1509" w:type="dxa"/>
            <w:gridSpan w:val="2"/>
            <w:tcBorders>
              <w:top w:val="single" w:color="000000" w:sz="4" w:space="0"/>
              <w:left w:val="single" w:color="auto" w:sz="4" w:space="0"/>
              <w:bottom w:val="single" w:color="auto" w:sz="4" w:space="0"/>
              <w:right w:val="single" w:color="000000" w:sz="4" w:space="0"/>
            </w:tcBorders>
            <w:vAlign w:val="bottom"/>
          </w:tcPr>
          <w:p>
            <w:pPr>
              <w:snapToGrid w:val="0"/>
              <w:spacing w:line="480" w:lineRule="exact"/>
              <w:jc w:val="center"/>
              <w:rPr>
                <w:rFonts w:hint="default" w:ascii="仿宋_GB2312" w:hAnsi="宋体" w:eastAsia="仿宋_GB2312" w:cs="宋体"/>
                <w:color w:val="000000" w:themeColor="text1"/>
                <w:sz w:val="24"/>
                <w:szCs w:val="24"/>
                <w:lang w:val="en-US" w:eastAsia="zh-CN"/>
                <w14:textFill>
                  <w14:solidFill>
                    <w14:schemeClr w14:val="tx1"/>
                  </w14:solidFill>
                </w14:textFill>
              </w:rPr>
            </w:pPr>
            <w:r>
              <w:rPr>
                <w:rFonts w:hint="eastAsia" w:ascii="仿宋_GB2312" w:hAnsi="宋体" w:eastAsia="仿宋_GB2312" w:cs="宋体"/>
                <w:color w:val="000000" w:themeColor="text1"/>
                <w:sz w:val="24"/>
                <w:szCs w:val="24"/>
                <w:lang w:val="en-US" w:eastAsia="zh-CN"/>
                <w14:textFill>
                  <w14:solidFill>
                    <w14:schemeClr w14:val="tx1"/>
                  </w14:solidFill>
                </w14:textFill>
              </w:rPr>
              <w:t>b</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6" w:hRule="atLeast"/>
        </w:trPr>
        <w:tc>
          <w:tcPr>
            <w:tcW w:w="5505" w:type="dxa"/>
            <w:gridSpan w:val="2"/>
            <w:vMerge w:val="continue"/>
            <w:tcBorders>
              <w:top w:val="single" w:color="auto" w:sz="4" w:space="0"/>
              <w:left w:val="single" w:color="000000" w:sz="4" w:space="0"/>
              <w:bottom w:val="single" w:color="auto" w:sz="4" w:space="0"/>
              <w:right w:val="single" w:color="auto" w:sz="4" w:space="0"/>
            </w:tcBorders>
            <w:vAlign w:val="center"/>
          </w:tcPr>
          <w:p>
            <w:pPr>
              <w:spacing w:line="480" w:lineRule="exact"/>
              <w:rPr>
                <w:rFonts w:ascii="仿宋_GB2312" w:eastAsia="仿宋_GB2312" w:cs="宋体"/>
                <w:color w:val="000000" w:themeColor="text1"/>
                <w:sz w:val="24"/>
                <w:szCs w:val="24"/>
                <w:lang w:eastAsia="zh-CN"/>
                <w14:textFill>
                  <w14:solidFill>
                    <w14:schemeClr w14:val="tx1"/>
                  </w14:solidFill>
                </w14:textFill>
              </w:rPr>
            </w:pPr>
          </w:p>
        </w:tc>
        <w:tc>
          <w:tcPr>
            <w:tcW w:w="1508" w:type="dxa"/>
            <w:tcBorders>
              <w:top w:val="nil"/>
              <w:left w:val="nil"/>
              <w:bottom w:val="single" w:color="auto" w:sz="4" w:space="0"/>
              <w:right w:val="single" w:color="auto" w:sz="4" w:space="0"/>
            </w:tcBorders>
            <w:vAlign w:val="bottom"/>
          </w:tcPr>
          <w:p>
            <w:pPr>
              <w:snapToGrid w:val="0"/>
              <w:spacing w:line="480" w:lineRule="exact"/>
              <w:jc w:val="center"/>
              <w:rPr>
                <w:rFonts w:hint="default" w:ascii="仿宋_GB2312" w:hAnsi="宋体" w:eastAsia="仿宋_GB2312" w:cs="宋体"/>
                <w:color w:val="000000" w:themeColor="text1"/>
                <w:sz w:val="24"/>
                <w:szCs w:val="24"/>
                <w:lang w:val="en-US" w:eastAsia="zh-CN"/>
                <w14:textFill>
                  <w14:solidFill>
                    <w14:schemeClr w14:val="tx1"/>
                  </w14:solidFill>
                </w14:textFill>
              </w:rPr>
            </w:pPr>
            <w:r>
              <w:rPr>
                <w:rFonts w:hint="eastAsia" w:ascii="仿宋_GB2312" w:hAnsi="宋体" w:eastAsia="仿宋_GB2312" w:cs="宋体"/>
                <w:color w:val="000000" w:themeColor="text1"/>
                <w:kern w:val="2"/>
                <w:sz w:val="24"/>
                <w:szCs w:val="24"/>
                <w:lang w:val="en-US" w:eastAsia="zh-CN"/>
                <w14:textFill>
                  <w14:solidFill>
                    <w14:schemeClr w14:val="tx1"/>
                  </w14:solidFill>
                </w14:textFill>
              </w:rPr>
              <w:t>2025年3月31日</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snapToGrid w:val="0"/>
              <w:spacing w:line="480" w:lineRule="exact"/>
              <w:jc w:val="center"/>
              <w:rPr>
                <w:rFonts w:hint="default" w:ascii="仿宋_GB2312" w:hAnsi="宋体" w:eastAsia="仿宋_GB2312" w:cs="宋体"/>
                <w:color w:val="000000" w:themeColor="text1"/>
                <w:kern w:val="2"/>
                <w:sz w:val="24"/>
                <w:szCs w:val="24"/>
                <w:lang w:val="en-US" w:eastAsia="zh-CN"/>
                <w14:textFill>
                  <w14:solidFill>
                    <w14:schemeClr w14:val="tx1"/>
                  </w14:solidFill>
                </w14:textFill>
              </w:rPr>
            </w:pPr>
            <w:r>
              <w:rPr>
                <w:rFonts w:hint="eastAsia" w:ascii="仿宋_GB2312" w:hAnsi="宋体" w:eastAsia="仿宋_GB2312" w:cs="宋体"/>
                <w:color w:val="000000" w:themeColor="text1"/>
                <w:kern w:val="2"/>
                <w:sz w:val="24"/>
                <w:szCs w:val="24"/>
                <w:lang w:val="en-US" w:eastAsia="zh-CN"/>
                <w14:textFill>
                  <w14:solidFill>
                    <w14:schemeClr w14:val="tx1"/>
                  </w14:solidFill>
                </w14:textFill>
              </w:rPr>
              <w:t>2024年12月31日</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6" w:hRule="atLeast"/>
        </w:trPr>
        <w:tc>
          <w:tcPr>
            <w:tcW w:w="7015" w:type="dxa"/>
            <w:gridSpan w:val="4"/>
            <w:tcBorders>
              <w:top w:val="single" w:color="auto" w:sz="4" w:space="0"/>
              <w:left w:val="single" w:color="000000" w:sz="4" w:space="0"/>
              <w:bottom w:val="single" w:color="auto" w:sz="4" w:space="0"/>
              <w:right w:val="single" w:color="auto" w:sz="4" w:space="0"/>
            </w:tcBorders>
            <w:shd w:val="clear" w:color="auto" w:fill="A6A6A6"/>
            <w:vAlign w:val="bottom"/>
          </w:tcPr>
          <w:p>
            <w:pPr>
              <w:snapToGrid w:val="0"/>
              <w:spacing w:line="480" w:lineRule="exact"/>
              <w:rPr>
                <w:rFonts w:ascii="仿宋_GB2312" w:eastAsia="仿宋_GB2312" w:cs="宋体"/>
                <w:b/>
                <w:color w:val="000000" w:themeColor="text1"/>
                <w:sz w:val="24"/>
                <w:szCs w:val="24"/>
                <w14:textFill>
                  <w14:solidFill>
                    <w14:schemeClr w14:val="tx1"/>
                  </w14:solidFill>
                </w14:textFill>
              </w:rPr>
            </w:pPr>
            <w:r>
              <w:rPr>
                <w:rFonts w:hint="eastAsia" w:ascii="仿宋_GB2312" w:hAnsi="宋体" w:eastAsia="仿宋_GB2312" w:cs="宋体"/>
                <w:b/>
                <w:color w:val="000000" w:themeColor="text1"/>
                <w:kern w:val="2"/>
                <w:sz w:val="24"/>
                <w:szCs w:val="24"/>
                <w14:textFill>
                  <w14:solidFill>
                    <w14:schemeClr w14:val="tx1"/>
                  </w14:solidFill>
                </w14:textFill>
              </w:rPr>
              <w:t>表内资产余额</w:t>
            </w:r>
          </w:p>
        </w:tc>
        <w:tc>
          <w:tcPr>
            <w:tcW w:w="1507" w:type="dxa"/>
            <w:tcBorders>
              <w:top w:val="single" w:color="auto" w:sz="4" w:space="0"/>
              <w:left w:val="single" w:color="auto" w:sz="4" w:space="0"/>
              <w:bottom w:val="single" w:color="auto" w:sz="4" w:space="0"/>
              <w:right w:val="single" w:color="000000" w:sz="4" w:space="0"/>
            </w:tcBorders>
            <w:shd w:val="clear" w:color="auto" w:fill="A6A6A6"/>
            <w:vAlign w:val="bottom"/>
          </w:tcPr>
          <w:p>
            <w:pPr>
              <w:snapToGrid w:val="0"/>
              <w:spacing w:line="480" w:lineRule="exact"/>
              <w:rPr>
                <w:rFonts w:hint="eastAsia" w:ascii="仿宋_GB2312" w:hAnsi="宋体" w:eastAsia="仿宋_GB2312" w:cs="宋体"/>
                <w:b/>
                <w:color w:val="000000" w:themeColor="text1"/>
                <w:kern w:val="2"/>
                <w:sz w:val="24"/>
                <w:szCs w:val="24"/>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83"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表内资产（除衍生工具和证券融资交易外）</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225988708</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218074434</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2</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减：减值准备</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-4765505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-4755443</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46"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3</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减：一级资本扣除项</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-769145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-693924</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90"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4</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b/>
                <w:bCs/>
                <w:color w:val="000000" w:themeColor="text1"/>
                <w:kern w:val="2"/>
                <w:sz w:val="24"/>
                <w:szCs w:val="24"/>
                <w:lang w:eastAsia="zh-CN"/>
                <w14:textFill>
                  <w14:solidFill>
                    <w14:schemeClr w14:val="tx1"/>
                  </w14:solidFill>
                </w14:textFill>
              </w:rPr>
              <w:t>调整后的表内资产余额（衍生工具和证券融资交易除外）</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220454059</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212625067</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90"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5</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各类衍生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的重置成本（扣除合格保证金，考虑双边净额结算协议的影响）</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153136</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136443</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77"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6</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各类衍生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的潜在风险暴露</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304864</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171738</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83" w:hRule="atLeast"/>
        </w:trPr>
        <w:tc>
          <w:tcPr>
            <w:tcW w:w="719" w:type="dxa"/>
            <w:tcBorders>
              <w:top w:val="nil"/>
              <w:left w:val="single" w:color="000000" w:sz="4" w:space="0"/>
              <w:bottom w:val="single" w:color="auto" w:sz="4" w:space="0"/>
              <w:right w:val="single" w:color="auto" w:sz="4" w:space="0"/>
            </w:tcBorders>
            <w:vAlign w:val="center"/>
          </w:tcPr>
          <w:p>
            <w:pPr>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7</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已从资产负债表中扣除的抵质押品总和</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2"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8</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减：因提供合格保证金形成的应收资产</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564"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9</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减：为客户提供清算服务时与中央交易对手交易形成的衍生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10</w:t>
            </w:r>
          </w:p>
        </w:tc>
        <w:tc>
          <w:tcPr>
            <w:tcW w:w="4786" w:type="dxa"/>
            <w:tcBorders>
              <w:top w:val="nil"/>
              <w:left w:val="nil"/>
              <w:bottom w:val="single" w:color="auto" w:sz="4" w:space="0"/>
              <w:right w:val="single" w:color="auto" w:sz="4" w:space="0"/>
            </w:tcBorders>
            <w:vAlign w:val="center"/>
          </w:tcPr>
          <w:p>
            <w:pPr>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卖出信用衍生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的名义本金</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99" w:hRule="atLeast"/>
        </w:trPr>
        <w:tc>
          <w:tcPr>
            <w:tcW w:w="719" w:type="dxa"/>
            <w:tcBorders>
              <w:top w:val="nil"/>
              <w:left w:val="single" w:color="000000" w:sz="4" w:space="0"/>
              <w:bottom w:val="single" w:color="auto" w:sz="4" w:space="0"/>
              <w:right w:val="single" w:color="auto" w:sz="4" w:space="0"/>
            </w:tcBorders>
            <w:vAlign w:val="center"/>
          </w:tcPr>
          <w:p>
            <w:pPr>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11</w:t>
            </w:r>
          </w:p>
        </w:tc>
        <w:tc>
          <w:tcPr>
            <w:tcW w:w="4786" w:type="dxa"/>
            <w:tcBorders>
              <w:top w:val="nil"/>
              <w:left w:val="nil"/>
              <w:bottom w:val="single" w:color="auto" w:sz="4" w:space="0"/>
              <w:right w:val="single" w:color="auto" w:sz="4" w:space="0"/>
            </w:tcBorders>
            <w:vAlign w:val="center"/>
          </w:tcPr>
          <w:p>
            <w:pPr>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减：可扣除的卖出信用衍生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2</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hAnsi="宋体" w:eastAsia="仿宋_GB2312" w:cs="宋体"/>
                <w:b/>
                <w:bCs/>
                <w:color w:val="000000" w:themeColor="text1"/>
                <w:kern w:val="2"/>
                <w:sz w:val="24"/>
                <w:szCs w:val="24"/>
                <w:lang w:eastAsia="zh-CN"/>
                <w14:textFill>
                  <w14:solidFill>
                    <w14:schemeClr w14:val="tx1"/>
                  </w14:solidFill>
                </w14:textFill>
              </w:rPr>
              <w:t>衍生</w:t>
            </w:r>
            <w:r>
              <w:rPr>
                <w:rFonts w:hint="eastAsia" w:ascii="仿宋_GB2312" w:hAnsi="宋体" w:eastAsia="仿宋_GB2312" w:cs="宋体"/>
                <w:b/>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b/>
                <w:bCs/>
                <w:color w:val="000000" w:themeColor="text1"/>
                <w:kern w:val="2"/>
                <w:sz w:val="24"/>
                <w:szCs w:val="24"/>
                <w:lang w:eastAsia="zh-CN"/>
                <w14:textFill>
                  <w14:solidFill>
                    <w14:schemeClr w14:val="tx1"/>
                  </w14:solidFill>
                </w14:textFill>
              </w:rPr>
              <w:t>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458000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308182</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lang w:eastAsia="zh-CN"/>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90"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3</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证券融资交易的会计资产余额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28500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4</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减：可以扣除的证券融资交易资产余额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5</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证券融资交易的交易对手信用风险暴露</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190559</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369891</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6</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代理证券融资交易形成的证券融资交易资产余额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7</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b/>
                <w:bCs/>
                <w:color w:val="000000" w:themeColor="text1"/>
                <w:kern w:val="2"/>
                <w:sz w:val="24"/>
                <w:szCs w:val="24"/>
                <w:lang w:eastAsia="zh-CN"/>
                <w14:textFill>
                  <w14:solidFill>
                    <w14:schemeClr w14:val="tx1"/>
                  </w14:solidFill>
                </w14:textFill>
              </w:rPr>
              <w:t>证券融资交易资产余额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219059</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369891</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lang w:eastAsia="zh-CN"/>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8</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14:textFill>
                  <w14:solidFill>
                    <w14:schemeClr w14:val="tx1"/>
                  </w14:solidFill>
                </w14:textFill>
              </w:rPr>
              <w:t>表外项目余额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107020283</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114681054</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90"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19</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减：因信用转换调整的表外项目余额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-72648446</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-77801850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20</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减：减值准备</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-274455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-306535</w:t>
            </w:r>
          </w:p>
        </w:tc>
      </w:tr>
      <w:tr>
        <w:tblPrEx>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21</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b/>
                <w:bCs/>
                <w:color w:val="000000" w:themeColor="text1"/>
                <w:kern w:val="2"/>
                <w:sz w:val="24"/>
                <w:szCs w:val="24"/>
                <w:lang w:eastAsia="zh-CN"/>
                <w14:textFill>
                  <w14:solidFill>
                    <w14:schemeClr w14:val="tx1"/>
                  </w14:solidFill>
                </w14:textFill>
              </w:rPr>
              <w:t>调整后的表外项目余额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34097381</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36572669</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lang w:eastAsia="zh-CN"/>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2</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14:textFill>
                  <w14:solidFill>
                    <w14:schemeClr w14:val="tx1"/>
                  </w14:solidFill>
                </w14:textFill>
              </w:rPr>
              <w:t>一级资本</w:t>
            </w:r>
            <w:r>
              <w:rPr>
                <w:rFonts w:hint="eastAsia" w:ascii="仿宋_GB2312" w:hAnsi="宋体" w:eastAsia="仿宋_GB2312" w:cs="宋体"/>
                <w:color w:val="000000" w:themeColor="text1"/>
                <w:kern w:val="2"/>
                <w:sz w:val="24"/>
                <w:szCs w:val="24"/>
                <w:lang w:eastAsia="zh-CN"/>
                <w14:textFill>
                  <w14:solidFill>
                    <w14:schemeClr w14:val="tx1"/>
                  </w14:solidFill>
                </w14:textFill>
              </w:rPr>
              <w:t>净额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16972455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16750693</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99"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3</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调整后表内外资产余额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255228499</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249875809</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4</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杠杆率</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6.65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6.70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single" w:color="auto" w:sz="4" w:space="0"/>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4</w:t>
            </w:r>
            <w:r>
              <w:rPr>
                <w:rFonts w:ascii="仿宋_GB2312" w:hAnsi="宋体" w:eastAsia="仿宋_GB2312" w:cs="宋体"/>
                <w:color w:val="000000" w:themeColor="text1"/>
                <w:kern w:val="2"/>
                <w:sz w:val="24"/>
                <w:szCs w:val="24"/>
                <w14:textFill>
                  <w14:solidFill>
                    <w14:schemeClr w14:val="tx1"/>
                  </w14:solidFill>
                </w14:textFill>
              </w:rPr>
              <w:t>a</w:t>
            </w:r>
          </w:p>
        </w:tc>
        <w:tc>
          <w:tcPr>
            <w:tcW w:w="4786" w:type="dxa"/>
            <w:tcBorders>
              <w:top w:val="single" w:color="auto" w:sz="4" w:space="0"/>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杠杆率</w:t>
            </w:r>
            <w:r>
              <w:rPr>
                <w:rFonts w:ascii="仿宋_GB2312" w:hAnsi="宋体" w:eastAsia="仿宋_GB2312" w:cs="宋体"/>
                <w:color w:val="000000" w:themeColor="text1"/>
                <w:kern w:val="2"/>
                <w:sz w:val="24"/>
                <w:szCs w:val="24"/>
                <w:lang w:eastAsia="zh-CN"/>
                <w14:textFill>
                  <w14:solidFill>
                    <w14:schemeClr w14:val="tx1"/>
                  </w14:solidFill>
                </w14:textFill>
              </w:rPr>
              <w:t>a</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6.65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6.70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single" w:color="auto" w:sz="4" w:space="0"/>
              <w:left w:val="single" w:color="000000" w:sz="4" w:space="0"/>
              <w:bottom w:val="single" w:color="000000"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5</w:t>
            </w:r>
          </w:p>
        </w:tc>
        <w:tc>
          <w:tcPr>
            <w:tcW w:w="4786" w:type="dxa"/>
            <w:tcBorders>
              <w:top w:val="single" w:color="auto" w:sz="4" w:space="0"/>
              <w:left w:val="nil"/>
              <w:bottom w:val="single" w:color="000000"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最低杠杆率要求</w:t>
            </w:r>
          </w:p>
        </w:tc>
        <w:tc>
          <w:tcPr>
            <w:tcW w:w="1508" w:type="dxa"/>
            <w:tcBorders>
              <w:top w:val="single" w:color="auto" w:sz="4" w:space="0"/>
              <w:left w:val="nil"/>
              <w:bottom w:val="single" w:color="000000"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4.00</w:t>
            </w:r>
          </w:p>
        </w:tc>
        <w:tc>
          <w:tcPr>
            <w:tcW w:w="1509" w:type="dxa"/>
            <w:gridSpan w:val="2"/>
            <w:tcBorders>
              <w:top w:val="single" w:color="auto" w:sz="4" w:space="0"/>
              <w:left w:val="single" w:color="auto" w:sz="4" w:space="0"/>
              <w:bottom w:val="single" w:color="000000"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4.00</w:t>
            </w:r>
          </w:p>
        </w:tc>
      </w:tr>
    </w:tbl>
    <w:p>
      <w:pPr>
        <w:rPr>
          <w:rFonts w:hint="eastAsia" w:ascii="仿宋" w:hAnsi="仿宋" w:eastAsia="仿宋" w:cs="仿宋"/>
          <w:sz w:val="32"/>
          <w:szCs w:val="32"/>
          <w:lang w:val="en-US" w:eastAsia="zh-CN"/>
        </w:rPr>
      </w:pP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Segoe UI">
    <w:panose1 w:val="020B0502040204020203"/>
    <w:charset w:val="00"/>
    <w:family w:val="swiss"/>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859D0"/>
    <w:rsid w:val="001A0A26"/>
    <w:rsid w:val="00377B0C"/>
    <w:rsid w:val="005C2E6F"/>
    <w:rsid w:val="009D130F"/>
    <w:rsid w:val="00B1399E"/>
    <w:rsid w:val="00D15BAE"/>
    <w:rsid w:val="00DB4472"/>
    <w:rsid w:val="00E41CD7"/>
    <w:rsid w:val="00E96815"/>
    <w:rsid w:val="00F8338D"/>
    <w:rsid w:val="011038F8"/>
    <w:rsid w:val="011C7179"/>
    <w:rsid w:val="01427CC7"/>
    <w:rsid w:val="015109E3"/>
    <w:rsid w:val="01735DE0"/>
    <w:rsid w:val="01B9069D"/>
    <w:rsid w:val="01D0609A"/>
    <w:rsid w:val="01FC28DC"/>
    <w:rsid w:val="021141F5"/>
    <w:rsid w:val="021814FC"/>
    <w:rsid w:val="024E186D"/>
    <w:rsid w:val="026A0715"/>
    <w:rsid w:val="02A10CF5"/>
    <w:rsid w:val="02AE6BA6"/>
    <w:rsid w:val="02B7475C"/>
    <w:rsid w:val="02BC2A04"/>
    <w:rsid w:val="02D97F11"/>
    <w:rsid w:val="02DC0D0F"/>
    <w:rsid w:val="03150554"/>
    <w:rsid w:val="031627B0"/>
    <w:rsid w:val="0330780D"/>
    <w:rsid w:val="03316A72"/>
    <w:rsid w:val="03392A7D"/>
    <w:rsid w:val="03845BA2"/>
    <w:rsid w:val="038E5EF8"/>
    <w:rsid w:val="03975EC2"/>
    <w:rsid w:val="03E61283"/>
    <w:rsid w:val="045E3B87"/>
    <w:rsid w:val="046A4637"/>
    <w:rsid w:val="0478741C"/>
    <w:rsid w:val="04B806FE"/>
    <w:rsid w:val="04CF7249"/>
    <w:rsid w:val="04DA66DB"/>
    <w:rsid w:val="04DD79BB"/>
    <w:rsid w:val="04FF7101"/>
    <w:rsid w:val="052F077E"/>
    <w:rsid w:val="053E4A13"/>
    <w:rsid w:val="05452CF2"/>
    <w:rsid w:val="05731022"/>
    <w:rsid w:val="05796E4A"/>
    <w:rsid w:val="05962815"/>
    <w:rsid w:val="05AA002A"/>
    <w:rsid w:val="062A6882"/>
    <w:rsid w:val="064110E1"/>
    <w:rsid w:val="06682C18"/>
    <w:rsid w:val="067730B9"/>
    <w:rsid w:val="06A502E6"/>
    <w:rsid w:val="06D62019"/>
    <w:rsid w:val="073A41F9"/>
    <w:rsid w:val="07405E9A"/>
    <w:rsid w:val="0753066A"/>
    <w:rsid w:val="07604546"/>
    <w:rsid w:val="07864C9A"/>
    <w:rsid w:val="07866F6F"/>
    <w:rsid w:val="07B94616"/>
    <w:rsid w:val="07C87954"/>
    <w:rsid w:val="07DD18F8"/>
    <w:rsid w:val="07F13F25"/>
    <w:rsid w:val="07F92ED2"/>
    <w:rsid w:val="08562CD1"/>
    <w:rsid w:val="08634A8B"/>
    <w:rsid w:val="08654B2E"/>
    <w:rsid w:val="088A1A88"/>
    <w:rsid w:val="08B80EC6"/>
    <w:rsid w:val="08DA3EEE"/>
    <w:rsid w:val="08EB5EE9"/>
    <w:rsid w:val="09032C26"/>
    <w:rsid w:val="091D2364"/>
    <w:rsid w:val="092C3541"/>
    <w:rsid w:val="09891043"/>
    <w:rsid w:val="0A621877"/>
    <w:rsid w:val="0AA60DD3"/>
    <w:rsid w:val="0AB1578A"/>
    <w:rsid w:val="0AD25F62"/>
    <w:rsid w:val="0B25317E"/>
    <w:rsid w:val="0B4476F8"/>
    <w:rsid w:val="0B4D5266"/>
    <w:rsid w:val="0B55788B"/>
    <w:rsid w:val="0B88352B"/>
    <w:rsid w:val="0BB701D8"/>
    <w:rsid w:val="0BC07D0D"/>
    <w:rsid w:val="0BD544C6"/>
    <w:rsid w:val="0C472A5F"/>
    <w:rsid w:val="0C5767F9"/>
    <w:rsid w:val="0C795951"/>
    <w:rsid w:val="0C845A60"/>
    <w:rsid w:val="0CD976FA"/>
    <w:rsid w:val="0CED7550"/>
    <w:rsid w:val="0D156061"/>
    <w:rsid w:val="0D176D42"/>
    <w:rsid w:val="0D266236"/>
    <w:rsid w:val="0D5020C7"/>
    <w:rsid w:val="0D58296C"/>
    <w:rsid w:val="0D682710"/>
    <w:rsid w:val="0D7E6FC2"/>
    <w:rsid w:val="0DB73867"/>
    <w:rsid w:val="0DD039E4"/>
    <w:rsid w:val="0DEC3B33"/>
    <w:rsid w:val="0DEF5E0C"/>
    <w:rsid w:val="0DFD038C"/>
    <w:rsid w:val="0E281B86"/>
    <w:rsid w:val="0E9E0022"/>
    <w:rsid w:val="0EA2552D"/>
    <w:rsid w:val="0EB4533E"/>
    <w:rsid w:val="0EC82D9F"/>
    <w:rsid w:val="0EE02E2E"/>
    <w:rsid w:val="0F062C4F"/>
    <w:rsid w:val="0F163CCB"/>
    <w:rsid w:val="0F6E59E4"/>
    <w:rsid w:val="0F717E84"/>
    <w:rsid w:val="0FA164FD"/>
    <w:rsid w:val="0FAC1B5B"/>
    <w:rsid w:val="0FCA1A49"/>
    <w:rsid w:val="10213AAE"/>
    <w:rsid w:val="103457A0"/>
    <w:rsid w:val="104D0D72"/>
    <w:rsid w:val="10BD3FC2"/>
    <w:rsid w:val="11680030"/>
    <w:rsid w:val="11742DE6"/>
    <w:rsid w:val="11B02BC1"/>
    <w:rsid w:val="11DD0903"/>
    <w:rsid w:val="120F1B51"/>
    <w:rsid w:val="12141FCE"/>
    <w:rsid w:val="12264518"/>
    <w:rsid w:val="123038F6"/>
    <w:rsid w:val="12760979"/>
    <w:rsid w:val="12BB14F1"/>
    <w:rsid w:val="12C16F92"/>
    <w:rsid w:val="12C47C85"/>
    <w:rsid w:val="12D1709D"/>
    <w:rsid w:val="130A7B3B"/>
    <w:rsid w:val="135A295C"/>
    <w:rsid w:val="13650466"/>
    <w:rsid w:val="13752225"/>
    <w:rsid w:val="137C5799"/>
    <w:rsid w:val="13D977A5"/>
    <w:rsid w:val="13F24F24"/>
    <w:rsid w:val="140E4545"/>
    <w:rsid w:val="1410151A"/>
    <w:rsid w:val="14517C55"/>
    <w:rsid w:val="14524747"/>
    <w:rsid w:val="14682706"/>
    <w:rsid w:val="14845411"/>
    <w:rsid w:val="148677DE"/>
    <w:rsid w:val="1523518B"/>
    <w:rsid w:val="152B2DE4"/>
    <w:rsid w:val="1596408B"/>
    <w:rsid w:val="159B7E3F"/>
    <w:rsid w:val="15F03F96"/>
    <w:rsid w:val="15FE58DB"/>
    <w:rsid w:val="162F7E19"/>
    <w:rsid w:val="16345FBB"/>
    <w:rsid w:val="163A5BB3"/>
    <w:rsid w:val="163F6AEF"/>
    <w:rsid w:val="166B23D4"/>
    <w:rsid w:val="16900903"/>
    <w:rsid w:val="16BA2DCF"/>
    <w:rsid w:val="16D800BD"/>
    <w:rsid w:val="16E750EF"/>
    <w:rsid w:val="16EA6E76"/>
    <w:rsid w:val="17217A35"/>
    <w:rsid w:val="17264F81"/>
    <w:rsid w:val="176C2298"/>
    <w:rsid w:val="17800655"/>
    <w:rsid w:val="180674BE"/>
    <w:rsid w:val="18224761"/>
    <w:rsid w:val="184B2D5A"/>
    <w:rsid w:val="184B3C05"/>
    <w:rsid w:val="187F3060"/>
    <w:rsid w:val="18825D60"/>
    <w:rsid w:val="18951B93"/>
    <w:rsid w:val="18A75179"/>
    <w:rsid w:val="18CC455F"/>
    <w:rsid w:val="18E01A29"/>
    <w:rsid w:val="194D7C68"/>
    <w:rsid w:val="1974688B"/>
    <w:rsid w:val="1989643E"/>
    <w:rsid w:val="199E7C00"/>
    <w:rsid w:val="19BC5791"/>
    <w:rsid w:val="19CA1AEE"/>
    <w:rsid w:val="1A2E0858"/>
    <w:rsid w:val="1A7C0F99"/>
    <w:rsid w:val="1A9974D2"/>
    <w:rsid w:val="1B5F5F4E"/>
    <w:rsid w:val="1B606829"/>
    <w:rsid w:val="1BB521EA"/>
    <w:rsid w:val="1BC73923"/>
    <w:rsid w:val="1BC9083F"/>
    <w:rsid w:val="1BCC048A"/>
    <w:rsid w:val="1BDB3548"/>
    <w:rsid w:val="1BDF3C66"/>
    <w:rsid w:val="1BE51C21"/>
    <w:rsid w:val="1BE522F9"/>
    <w:rsid w:val="1BF00CBC"/>
    <w:rsid w:val="1BF40D44"/>
    <w:rsid w:val="1C3A3CF5"/>
    <w:rsid w:val="1C460D00"/>
    <w:rsid w:val="1C7A2703"/>
    <w:rsid w:val="1CF32A05"/>
    <w:rsid w:val="1D414265"/>
    <w:rsid w:val="1D8914B0"/>
    <w:rsid w:val="1DA61979"/>
    <w:rsid w:val="1DBB14C7"/>
    <w:rsid w:val="1DBC2476"/>
    <w:rsid w:val="1E2C1899"/>
    <w:rsid w:val="1E9A6CAF"/>
    <w:rsid w:val="1ED25622"/>
    <w:rsid w:val="1EDF2538"/>
    <w:rsid w:val="1EE60E3E"/>
    <w:rsid w:val="1F1171D0"/>
    <w:rsid w:val="1F345092"/>
    <w:rsid w:val="1F5E32B7"/>
    <w:rsid w:val="1FBE3BC5"/>
    <w:rsid w:val="1FCD177C"/>
    <w:rsid w:val="1FDD7C3F"/>
    <w:rsid w:val="1FFC5A58"/>
    <w:rsid w:val="20016B0E"/>
    <w:rsid w:val="202150F5"/>
    <w:rsid w:val="20324EC0"/>
    <w:rsid w:val="205A0C09"/>
    <w:rsid w:val="20855DC1"/>
    <w:rsid w:val="209B6552"/>
    <w:rsid w:val="20D62016"/>
    <w:rsid w:val="21051D60"/>
    <w:rsid w:val="213C145A"/>
    <w:rsid w:val="21715E87"/>
    <w:rsid w:val="21A0066F"/>
    <w:rsid w:val="21AE6229"/>
    <w:rsid w:val="21BD7D82"/>
    <w:rsid w:val="21DB262F"/>
    <w:rsid w:val="220A4D00"/>
    <w:rsid w:val="22321896"/>
    <w:rsid w:val="2254225A"/>
    <w:rsid w:val="22551F53"/>
    <w:rsid w:val="22DC4722"/>
    <w:rsid w:val="22E66B79"/>
    <w:rsid w:val="22EE19BF"/>
    <w:rsid w:val="22F80010"/>
    <w:rsid w:val="22FD4EDB"/>
    <w:rsid w:val="23042127"/>
    <w:rsid w:val="23121C93"/>
    <w:rsid w:val="231C23C5"/>
    <w:rsid w:val="233D2A3D"/>
    <w:rsid w:val="234C5D50"/>
    <w:rsid w:val="237810A4"/>
    <w:rsid w:val="23D54B35"/>
    <w:rsid w:val="23F1265F"/>
    <w:rsid w:val="23F92327"/>
    <w:rsid w:val="24090513"/>
    <w:rsid w:val="24677266"/>
    <w:rsid w:val="247A2B07"/>
    <w:rsid w:val="2484490B"/>
    <w:rsid w:val="248F0C19"/>
    <w:rsid w:val="24903568"/>
    <w:rsid w:val="24D83F71"/>
    <w:rsid w:val="250260E1"/>
    <w:rsid w:val="250C744B"/>
    <w:rsid w:val="251040F2"/>
    <w:rsid w:val="25443643"/>
    <w:rsid w:val="254C6F35"/>
    <w:rsid w:val="25641D4C"/>
    <w:rsid w:val="257C09F4"/>
    <w:rsid w:val="25823F9C"/>
    <w:rsid w:val="259B2076"/>
    <w:rsid w:val="25A93061"/>
    <w:rsid w:val="25AA720A"/>
    <w:rsid w:val="25DD70B8"/>
    <w:rsid w:val="263B2215"/>
    <w:rsid w:val="2664325F"/>
    <w:rsid w:val="267B23FA"/>
    <w:rsid w:val="26964651"/>
    <w:rsid w:val="269C2181"/>
    <w:rsid w:val="26B90446"/>
    <w:rsid w:val="26CF08F3"/>
    <w:rsid w:val="26E02CBB"/>
    <w:rsid w:val="26EB0E9B"/>
    <w:rsid w:val="26F83645"/>
    <w:rsid w:val="27127A10"/>
    <w:rsid w:val="27385196"/>
    <w:rsid w:val="27923F27"/>
    <w:rsid w:val="27A039C1"/>
    <w:rsid w:val="27C21558"/>
    <w:rsid w:val="28325A75"/>
    <w:rsid w:val="28537F6C"/>
    <w:rsid w:val="2859187D"/>
    <w:rsid w:val="28756BD9"/>
    <w:rsid w:val="287D56F2"/>
    <w:rsid w:val="289628B1"/>
    <w:rsid w:val="28A5345C"/>
    <w:rsid w:val="28A60EB9"/>
    <w:rsid w:val="28A733E9"/>
    <w:rsid w:val="28BF1DE9"/>
    <w:rsid w:val="28E2554A"/>
    <w:rsid w:val="28E85467"/>
    <w:rsid w:val="29334E61"/>
    <w:rsid w:val="2990347D"/>
    <w:rsid w:val="29DB5260"/>
    <w:rsid w:val="29EB3CFB"/>
    <w:rsid w:val="29F625DE"/>
    <w:rsid w:val="29F87D49"/>
    <w:rsid w:val="2A12300C"/>
    <w:rsid w:val="2A137463"/>
    <w:rsid w:val="2A323226"/>
    <w:rsid w:val="2A3A23A4"/>
    <w:rsid w:val="2A7553D7"/>
    <w:rsid w:val="2A834053"/>
    <w:rsid w:val="2AB010D2"/>
    <w:rsid w:val="2ACF7CA5"/>
    <w:rsid w:val="2AD638A2"/>
    <w:rsid w:val="2AD907CA"/>
    <w:rsid w:val="2ADF0221"/>
    <w:rsid w:val="2B5B4CBB"/>
    <w:rsid w:val="2B7F22DD"/>
    <w:rsid w:val="2B901F00"/>
    <w:rsid w:val="2B9B5082"/>
    <w:rsid w:val="2BA47074"/>
    <w:rsid w:val="2BC54434"/>
    <w:rsid w:val="2BE81C72"/>
    <w:rsid w:val="2BEF19B7"/>
    <w:rsid w:val="2C8753D2"/>
    <w:rsid w:val="2CC06388"/>
    <w:rsid w:val="2CEB2A06"/>
    <w:rsid w:val="2D26017A"/>
    <w:rsid w:val="2D8A5881"/>
    <w:rsid w:val="2DAD54CC"/>
    <w:rsid w:val="2DF16526"/>
    <w:rsid w:val="2E123E14"/>
    <w:rsid w:val="2E1E1F95"/>
    <w:rsid w:val="2E313987"/>
    <w:rsid w:val="2E5E1174"/>
    <w:rsid w:val="2E622D69"/>
    <w:rsid w:val="2EE321BB"/>
    <w:rsid w:val="2F0F397B"/>
    <w:rsid w:val="2F343A68"/>
    <w:rsid w:val="2F4710B7"/>
    <w:rsid w:val="2F5D1717"/>
    <w:rsid w:val="2F6F425C"/>
    <w:rsid w:val="2F741BA7"/>
    <w:rsid w:val="2FC41AEE"/>
    <w:rsid w:val="2FFD7388"/>
    <w:rsid w:val="30515E6F"/>
    <w:rsid w:val="306329F2"/>
    <w:rsid w:val="308D569A"/>
    <w:rsid w:val="30952618"/>
    <w:rsid w:val="309D0A59"/>
    <w:rsid w:val="30A07E66"/>
    <w:rsid w:val="30B1153D"/>
    <w:rsid w:val="30DE7292"/>
    <w:rsid w:val="30EB7DC5"/>
    <w:rsid w:val="310B4AE4"/>
    <w:rsid w:val="311A5486"/>
    <w:rsid w:val="311F172C"/>
    <w:rsid w:val="31466AC2"/>
    <w:rsid w:val="3149398D"/>
    <w:rsid w:val="314A3EFE"/>
    <w:rsid w:val="31746453"/>
    <w:rsid w:val="32160E40"/>
    <w:rsid w:val="32583EFC"/>
    <w:rsid w:val="327269D8"/>
    <w:rsid w:val="32BD7376"/>
    <w:rsid w:val="32CD515B"/>
    <w:rsid w:val="34263522"/>
    <w:rsid w:val="34273808"/>
    <w:rsid w:val="34575E2E"/>
    <w:rsid w:val="345B6692"/>
    <w:rsid w:val="346022EB"/>
    <w:rsid w:val="3460758C"/>
    <w:rsid w:val="34670FA5"/>
    <w:rsid w:val="347D731D"/>
    <w:rsid w:val="347F12C5"/>
    <w:rsid w:val="34916699"/>
    <w:rsid w:val="34CD22C9"/>
    <w:rsid w:val="350B60C9"/>
    <w:rsid w:val="35165CA4"/>
    <w:rsid w:val="351A62D2"/>
    <w:rsid w:val="3522489D"/>
    <w:rsid w:val="359D1342"/>
    <w:rsid w:val="359F4AAF"/>
    <w:rsid w:val="35F331E3"/>
    <w:rsid w:val="35F76ED0"/>
    <w:rsid w:val="360232B7"/>
    <w:rsid w:val="360C4B24"/>
    <w:rsid w:val="36206EC3"/>
    <w:rsid w:val="3636007C"/>
    <w:rsid w:val="368F0107"/>
    <w:rsid w:val="36935BF9"/>
    <w:rsid w:val="369E6D5B"/>
    <w:rsid w:val="36E7774E"/>
    <w:rsid w:val="3780330B"/>
    <w:rsid w:val="379B4657"/>
    <w:rsid w:val="37A03F56"/>
    <w:rsid w:val="37AD42D8"/>
    <w:rsid w:val="37BA03BD"/>
    <w:rsid w:val="37C07427"/>
    <w:rsid w:val="37DB4F2C"/>
    <w:rsid w:val="37EA7D59"/>
    <w:rsid w:val="38391FF1"/>
    <w:rsid w:val="384A7E5E"/>
    <w:rsid w:val="387A1644"/>
    <w:rsid w:val="38854FE2"/>
    <w:rsid w:val="38E065F4"/>
    <w:rsid w:val="38E37300"/>
    <w:rsid w:val="38ED1DBD"/>
    <w:rsid w:val="39397F3D"/>
    <w:rsid w:val="394149D2"/>
    <w:rsid w:val="39B735CA"/>
    <w:rsid w:val="39BD5F92"/>
    <w:rsid w:val="39DF4CFB"/>
    <w:rsid w:val="39F233D2"/>
    <w:rsid w:val="3A3F2433"/>
    <w:rsid w:val="3A5357E7"/>
    <w:rsid w:val="3A5A47E3"/>
    <w:rsid w:val="3A8335EE"/>
    <w:rsid w:val="3A927F06"/>
    <w:rsid w:val="3AB517EE"/>
    <w:rsid w:val="3AE14BDA"/>
    <w:rsid w:val="3AE71A5D"/>
    <w:rsid w:val="3B7C3F0F"/>
    <w:rsid w:val="3BB657BA"/>
    <w:rsid w:val="3BC44A6C"/>
    <w:rsid w:val="3BCB5DBA"/>
    <w:rsid w:val="3BD65806"/>
    <w:rsid w:val="3C065B84"/>
    <w:rsid w:val="3C2A5AF2"/>
    <w:rsid w:val="3C3134E1"/>
    <w:rsid w:val="3C5C6504"/>
    <w:rsid w:val="3C63666F"/>
    <w:rsid w:val="3C994BA1"/>
    <w:rsid w:val="3CCC1D3C"/>
    <w:rsid w:val="3CE55446"/>
    <w:rsid w:val="3D18298B"/>
    <w:rsid w:val="3D2340C0"/>
    <w:rsid w:val="3D5C342D"/>
    <w:rsid w:val="3D781680"/>
    <w:rsid w:val="3D805BB0"/>
    <w:rsid w:val="3DA45E8F"/>
    <w:rsid w:val="3DE06C23"/>
    <w:rsid w:val="3E1630F7"/>
    <w:rsid w:val="3E2208E8"/>
    <w:rsid w:val="3E3867ED"/>
    <w:rsid w:val="3E603239"/>
    <w:rsid w:val="3E654B44"/>
    <w:rsid w:val="3E6A57DE"/>
    <w:rsid w:val="3E772BB6"/>
    <w:rsid w:val="3E865D25"/>
    <w:rsid w:val="3E8C14E2"/>
    <w:rsid w:val="3EAD1F31"/>
    <w:rsid w:val="3ECD4E4C"/>
    <w:rsid w:val="3EE407FC"/>
    <w:rsid w:val="3EEC702C"/>
    <w:rsid w:val="3F0C51DE"/>
    <w:rsid w:val="3F215EDA"/>
    <w:rsid w:val="3F5744B1"/>
    <w:rsid w:val="3F580F52"/>
    <w:rsid w:val="3F602472"/>
    <w:rsid w:val="3F6B6E62"/>
    <w:rsid w:val="3FB105CC"/>
    <w:rsid w:val="405A1DFC"/>
    <w:rsid w:val="40605038"/>
    <w:rsid w:val="40816591"/>
    <w:rsid w:val="408F1476"/>
    <w:rsid w:val="40AD36D0"/>
    <w:rsid w:val="40B05294"/>
    <w:rsid w:val="40D65747"/>
    <w:rsid w:val="40E43C0B"/>
    <w:rsid w:val="410A1008"/>
    <w:rsid w:val="41283936"/>
    <w:rsid w:val="41331570"/>
    <w:rsid w:val="41410C92"/>
    <w:rsid w:val="4186175C"/>
    <w:rsid w:val="41C6714C"/>
    <w:rsid w:val="41F72857"/>
    <w:rsid w:val="42271A19"/>
    <w:rsid w:val="422E5869"/>
    <w:rsid w:val="42906AA9"/>
    <w:rsid w:val="42F3222D"/>
    <w:rsid w:val="43146A05"/>
    <w:rsid w:val="43477BCC"/>
    <w:rsid w:val="435C63D4"/>
    <w:rsid w:val="43670943"/>
    <w:rsid w:val="436D5D16"/>
    <w:rsid w:val="43712370"/>
    <w:rsid w:val="4373798E"/>
    <w:rsid w:val="437637F5"/>
    <w:rsid w:val="43A05024"/>
    <w:rsid w:val="43AF5475"/>
    <w:rsid w:val="43BA00F8"/>
    <w:rsid w:val="43BC0EEC"/>
    <w:rsid w:val="43D1456E"/>
    <w:rsid w:val="444830EA"/>
    <w:rsid w:val="44534E68"/>
    <w:rsid w:val="44545027"/>
    <w:rsid w:val="445C4466"/>
    <w:rsid w:val="44771D5C"/>
    <w:rsid w:val="449501E5"/>
    <w:rsid w:val="451360CE"/>
    <w:rsid w:val="45293884"/>
    <w:rsid w:val="45487EE8"/>
    <w:rsid w:val="4573577B"/>
    <w:rsid w:val="45A63884"/>
    <w:rsid w:val="45BB6E89"/>
    <w:rsid w:val="45E20756"/>
    <w:rsid w:val="45E967AE"/>
    <w:rsid w:val="45FF524C"/>
    <w:rsid w:val="46217D80"/>
    <w:rsid w:val="465B680D"/>
    <w:rsid w:val="466A0C41"/>
    <w:rsid w:val="466D3524"/>
    <w:rsid w:val="467B4D52"/>
    <w:rsid w:val="468774DA"/>
    <w:rsid w:val="46CA45FD"/>
    <w:rsid w:val="46DA23CB"/>
    <w:rsid w:val="46FA1799"/>
    <w:rsid w:val="47003AA7"/>
    <w:rsid w:val="470C5592"/>
    <w:rsid w:val="47167071"/>
    <w:rsid w:val="474F06BD"/>
    <w:rsid w:val="478543F8"/>
    <w:rsid w:val="478B2199"/>
    <w:rsid w:val="47A958EE"/>
    <w:rsid w:val="48295354"/>
    <w:rsid w:val="482A7959"/>
    <w:rsid w:val="49047C9D"/>
    <w:rsid w:val="49113246"/>
    <w:rsid w:val="491264B7"/>
    <w:rsid w:val="49296DB0"/>
    <w:rsid w:val="496B4F4E"/>
    <w:rsid w:val="49831960"/>
    <w:rsid w:val="49CB54F0"/>
    <w:rsid w:val="49D162F4"/>
    <w:rsid w:val="49D171D0"/>
    <w:rsid w:val="49E14EE7"/>
    <w:rsid w:val="49F4534F"/>
    <w:rsid w:val="4AAB006F"/>
    <w:rsid w:val="4ABE2C8E"/>
    <w:rsid w:val="4ACE1B01"/>
    <w:rsid w:val="4AE55434"/>
    <w:rsid w:val="4B0109A7"/>
    <w:rsid w:val="4B033713"/>
    <w:rsid w:val="4B4C7B77"/>
    <w:rsid w:val="4B8550AA"/>
    <w:rsid w:val="4BC22DAE"/>
    <w:rsid w:val="4BD1705A"/>
    <w:rsid w:val="4BED0959"/>
    <w:rsid w:val="4C220DDE"/>
    <w:rsid w:val="4C8E3EBE"/>
    <w:rsid w:val="4CD931A8"/>
    <w:rsid w:val="4CE9025F"/>
    <w:rsid w:val="4CEC21F1"/>
    <w:rsid w:val="4D117558"/>
    <w:rsid w:val="4D236792"/>
    <w:rsid w:val="4D425506"/>
    <w:rsid w:val="4D437D4B"/>
    <w:rsid w:val="4D8D4E7A"/>
    <w:rsid w:val="4D912FAD"/>
    <w:rsid w:val="4DA1552F"/>
    <w:rsid w:val="4DA15CF3"/>
    <w:rsid w:val="4DD21DE7"/>
    <w:rsid w:val="4DE67E30"/>
    <w:rsid w:val="4DFB76B5"/>
    <w:rsid w:val="4E1520B2"/>
    <w:rsid w:val="4E38353D"/>
    <w:rsid w:val="4E684793"/>
    <w:rsid w:val="4E715CFE"/>
    <w:rsid w:val="4E8239BC"/>
    <w:rsid w:val="4E9B65D7"/>
    <w:rsid w:val="4EB330A7"/>
    <w:rsid w:val="4EB40D06"/>
    <w:rsid w:val="4EBC4B37"/>
    <w:rsid w:val="4EE147B1"/>
    <w:rsid w:val="4F2A561C"/>
    <w:rsid w:val="4F4632E7"/>
    <w:rsid w:val="4F6D29B8"/>
    <w:rsid w:val="4F96101C"/>
    <w:rsid w:val="4FC739FC"/>
    <w:rsid w:val="4FD754B7"/>
    <w:rsid w:val="4FDE42D2"/>
    <w:rsid w:val="50204055"/>
    <w:rsid w:val="50390F1E"/>
    <w:rsid w:val="506612C4"/>
    <w:rsid w:val="50972F6C"/>
    <w:rsid w:val="50B04C8F"/>
    <w:rsid w:val="50C22415"/>
    <w:rsid w:val="50DC3077"/>
    <w:rsid w:val="50DC41F5"/>
    <w:rsid w:val="50F502B0"/>
    <w:rsid w:val="5109570C"/>
    <w:rsid w:val="510D2DDC"/>
    <w:rsid w:val="51306FED"/>
    <w:rsid w:val="513A4F6F"/>
    <w:rsid w:val="514246E6"/>
    <w:rsid w:val="51565413"/>
    <w:rsid w:val="515E6299"/>
    <w:rsid w:val="51C55FA9"/>
    <w:rsid w:val="51DE5290"/>
    <w:rsid w:val="520A043D"/>
    <w:rsid w:val="52235201"/>
    <w:rsid w:val="52443591"/>
    <w:rsid w:val="526669B4"/>
    <w:rsid w:val="526A6D29"/>
    <w:rsid w:val="52892CE2"/>
    <w:rsid w:val="528D3B09"/>
    <w:rsid w:val="52B053BD"/>
    <w:rsid w:val="52C2722A"/>
    <w:rsid w:val="53297AE5"/>
    <w:rsid w:val="539D4FAD"/>
    <w:rsid w:val="53B7531C"/>
    <w:rsid w:val="53DB028B"/>
    <w:rsid w:val="543447AA"/>
    <w:rsid w:val="551556FB"/>
    <w:rsid w:val="551A468B"/>
    <w:rsid w:val="55212294"/>
    <w:rsid w:val="5555589B"/>
    <w:rsid w:val="556805E1"/>
    <w:rsid w:val="556B24C0"/>
    <w:rsid w:val="556B3318"/>
    <w:rsid w:val="55A857A7"/>
    <w:rsid w:val="56590FAA"/>
    <w:rsid w:val="567E4BE9"/>
    <w:rsid w:val="56907E9A"/>
    <w:rsid w:val="56F3559A"/>
    <w:rsid w:val="56F80400"/>
    <w:rsid w:val="571E4321"/>
    <w:rsid w:val="57336284"/>
    <w:rsid w:val="57351A11"/>
    <w:rsid w:val="57402A64"/>
    <w:rsid w:val="577C275B"/>
    <w:rsid w:val="57BC7C28"/>
    <w:rsid w:val="57FE2ADB"/>
    <w:rsid w:val="580E1120"/>
    <w:rsid w:val="583D2509"/>
    <w:rsid w:val="5850246F"/>
    <w:rsid w:val="5865652E"/>
    <w:rsid w:val="58C53FA4"/>
    <w:rsid w:val="58CA5AB7"/>
    <w:rsid w:val="58EE4D6D"/>
    <w:rsid w:val="59047DBF"/>
    <w:rsid w:val="591111C2"/>
    <w:rsid w:val="592338F6"/>
    <w:rsid w:val="59421301"/>
    <w:rsid w:val="59586158"/>
    <w:rsid w:val="595A16D9"/>
    <w:rsid w:val="59A3207E"/>
    <w:rsid w:val="59A81CB5"/>
    <w:rsid w:val="59CB787E"/>
    <w:rsid w:val="59D26CFC"/>
    <w:rsid w:val="59D43421"/>
    <w:rsid w:val="59D506DD"/>
    <w:rsid w:val="5A6104D4"/>
    <w:rsid w:val="5A6E18CB"/>
    <w:rsid w:val="5AC06F9C"/>
    <w:rsid w:val="5AC077C1"/>
    <w:rsid w:val="5AF041F7"/>
    <w:rsid w:val="5B282499"/>
    <w:rsid w:val="5B2E4889"/>
    <w:rsid w:val="5B5D35FA"/>
    <w:rsid w:val="5B7F0C1E"/>
    <w:rsid w:val="5B995DAC"/>
    <w:rsid w:val="5BAE764A"/>
    <w:rsid w:val="5BE23DB7"/>
    <w:rsid w:val="5C5375FA"/>
    <w:rsid w:val="5C634DF3"/>
    <w:rsid w:val="5CCB33EB"/>
    <w:rsid w:val="5CCE1146"/>
    <w:rsid w:val="5D221572"/>
    <w:rsid w:val="5D5B5E6F"/>
    <w:rsid w:val="5D7574EC"/>
    <w:rsid w:val="5DAF3DFB"/>
    <w:rsid w:val="5DC6662F"/>
    <w:rsid w:val="5DD363D0"/>
    <w:rsid w:val="5DE2052F"/>
    <w:rsid w:val="5DEF7CE3"/>
    <w:rsid w:val="5DFD52DC"/>
    <w:rsid w:val="5E243778"/>
    <w:rsid w:val="5E4B0FB6"/>
    <w:rsid w:val="5E4B4D7C"/>
    <w:rsid w:val="5E5D79F9"/>
    <w:rsid w:val="5EB34969"/>
    <w:rsid w:val="5EB61D0F"/>
    <w:rsid w:val="5EEB058C"/>
    <w:rsid w:val="5EFD398E"/>
    <w:rsid w:val="5F5546AD"/>
    <w:rsid w:val="5F9D2B88"/>
    <w:rsid w:val="5FA35C55"/>
    <w:rsid w:val="6028338F"/>
    <w:rsid w:val="602E4278"/>
    <w:rsid w:val="60337107"/>
    <w:rsid w:val="60551B7C"/>
    <w:rsid w:val="608A62AD"/>
    <w:rsid w:val="614A48DD"/>
    <w:rsid w:val="616E26F3"/>
    <w:rsid w:val="6180016F"/>
    <w:rsid w:val="61980AFD"/>
    <w:rsid w:val="619C35F9"/>
    <w:rsid w:val="61C10E95"/>
    <w:rsid w:val="61D83090"/>
    <w:rsid w:val="61FE6241"/>
    <w:rsid w:val="62137C67"/>
    <w:rsid w:val="62263ECD"/>
    <w:rsid w:val="62785215"/>
    <w:rsid w:val="628C6136"/>
    <w:rsid w:val="62921CAF"/>
    <w:rsid w:val="62A01A3D"/>
    <w:rsid w:val="62AF5AA3"/>
    <w:rsid w:val="62C874A7"/>
    <w:rsid w:val="630E56B1"/>
    <w:rsid w:val="63304AA2"/>
    <w:rsid w:val="63503FC0"/>
    <w:rsid w:val="63991F5C"/>
    <w:rsid w:val="63B70DDC"/>
    <w:rsid w:val="63D74BBC"/>
    <w:rsid w:val="63E702A9"/>
    <w:rsid w:val="63E77597"/>
    <w:rsid w:val="640F52FF"/>
    <w:rsid w:val="642C35B9"/>
    <w:rsid w:val="643167E9"/>
    <w:rsid w:val="643E4A99"/>
    <w:rsid w:val="646D6B99"/>
    <w:rsid w:val="647D28DC"/>
    <w:rsid w:val="64810CD6"/>
    <w:rsid w:val="64AA59B2"/>
    <w:rsid w:val="64C20496"/>
    <w:rsid w:val="64D413A7"/>
    <w:rsid w:val="64E220CD"/>
    <w:rsid w:val="65084A8B"/>
    <w:rsid w:val="652621DC"/>
    <w:rsid w:val="652763F2"/>
    <w:rsid w:val="652A4A28"/>
    <w:rsid w:val="65393199"/>
    <w:rsid w:val="653F212C"/>
    <w:rsid w:val="65515BD7"/>
    <w:rsid w:val="657538E5"/>
    <w:rsid w:val="65783271"/>
    <w:rsid w:val="6580592C"/>
    <w:rsid w:val="65AB35DD"/>
    <w:rsid w:val="661459C4"/>
    <w:rsid w:val="664631DF"/>
    <w:rsid w:val="66885571"/>
    <w:rsid w:val="66995E41"/>
    <w:rsid w:val="66BA0BF3"/>
    <w:rsid w:val="66DC045A"/>
    <w:rsid w:val="66E05F8B"/>
    <w:rsid w:val="66E645D9"/>
    <w:rsid w:val="66FD6274"/>
    <w:rsid w:val="6712688F"/>
    <w:rsid w:val="67222313"/>
    <w:rsid w:val="67536D59"/>
    <w:rsid w:val="678964A8"/>
    <w:rsid w:val="678E5E8B"/>
    <w:rsid w:val="67A90D05"/>
    <w:rsid w:val="67B777C2"/>
    <w:rsid w:val="67DF483B"/>
    <w:rsid w:val="67EA3C44"/>
    <w:rsid w:val="67EE2316"/>
    <w:rsid w:val="68160826"/>
    <w:rsid w:val="6829254F"/>
    <w:rsid w:val="68365E21"/>
    <w:rsid w:val="683B1E40"/>
    <w:rsid w:val="68644906"/>
    <w:rsid w:val="68657487"/>
    <w:rsid w:val="68A702F5"/>
    <w:rsid w:val="69161C18"/>
    <w:rsid w:val="695B13FE"/>
    <w:rsid w:val="698D79BA"/>
    <w:rsid w:val="69B177AA"/>
    <w:rsid w:val="69D90AE2"/>
    <w:rsid w:val="69E22DF3"/>
    <w:rsid w:val="69EC02A9"/>
    <w:rsid w:val="6A125C3F"/>
    <w:rsid w:val="6A135607"/>
    <w:rsid w:val="6A234580"/>
    <w:rsid w:val="6A761CE5"/>
    <w:rsid w:val="6B14660C"/>
    <w:rsid w:val="6B1F2EAA"/>
    <w:rsid w:val="6B7048FB"/>
    <w:rsid w:val="6BBC7781"/>
    <w:rsid w:val="6BC01C13"/>
    <w:rsid w:val="6BFB68B3"/>
    <w:rsid w:val="6C1C48FE"/>
    <w:rsid w:val="6C637F2E"/>
    <w:rsid w:val="6C6A2D6A"/>
    <w:rsid w:val="6C863097"/>
    <w:rsid w:val="6CAC2EFF"/>
    <w:rsid w:val="6CB07C89"/>
    <w:rsid w:val="6CC23088"/>
    <w:rsid w:val="6CC71BEE"/>
    <w:rsid w:val="6CD42D63"/>
    <w:rsid w:val="6D0468D3"/>
    <w:rsid w:val="6D1E2632"/>
    <w:rsid w:val="6D847E46"/>
    <w:rsid w:val="6D9D0427"/>
    <w:rsid w:val="6DD76241"/>
    <w:rsid w:val="6DF17F52"/>
    <w:rsid w:val="6E0134C9"/>
    <w:rsid w:val="6E114F7A"/>
    <w:rsid w:val="6E977789"/>
    <w:rsid w:val="6EAB7865"/>
    <w:rsid w:val="6EC817EE"/>
    <w:rsid w:val="6EE22B54"/>
    <w:rsid w:val="6EFE414D"/>
    <w:rsid w:val="6F0D0C80"/>
    <w:rsid w:val="6FA0526F"/>
    <w:rsid w:val="6FA54553"/>
    <w:rsid w:val="6FAA7B2C"/>
    <w:rsid w:val="6FB30B03"/>
    <w:rsid w:val="6FDD0058"/>
    <w:rsid w:val="70021F50"/>
    <w:rsid w:val="705D7F2E"/>
    <w:rsid w:val="709B6FCB"/>
    <w:rsid w:val="70FE57E7"/>
    <w:rsid w:val="71231C75"/>
    <w:rsid w:val="715430A1"/>
    <w:rsid w:val="7161576F"/>
    <w:rsid w:val="719F6F93"/>
    <w:rsid w:val="71E61428"/>
    <w:rsid w:val="7205246D"/>
    <w:rsid w:val="7283160F"/>
    <w:rsid w:val="729D1B52"/>
    <w:rsid w:val="72AD7A67"/>
    <w:rsid w:val="72BF364C"/>
    <w:rsid w:val="72E569D0"/>
    <w:rsid w:val="72F627C7"/>
    <w:rsid w:val="72FF4371"/>
    <w:rsid w:val="730D70A2"/>
    <w:rsid w:val="736F152E"/>
    <w:rsid w:val="737236E5"/>
    <w:rsid w:val="73CF0EB2"/>
    <w:rsid w:val="73E82D9E"/>
    <w:rsid w:val="73FD58B0"/>
    <w:rsid w:val="741C2CB6"/>
    <w:rsid w:val="74252CE8"/>
    <w:rsid w:val="74457264"/>
    <w:rsid w:val="74683E6F"/>
    <w:rsid w:val="747A12E1"/>
    <w:rsid w:val="747C4F89"/>
    <w:rsid w:val="74B609DE"/>
    <w:rsid w:val="752B0C20"/>
    <w:rsid w:val="756F5FED"/>
    <w:rsid w:val="75860E80"/>
    <w:rsid w:val="75DA7BE6"/>
    <w:rsid w:val="75EF22A0"/>
    <w:rsid w:val="75FB5996"/>
    <w:rsid w:val="763E5277"/>
    <w:rsid w:val="7664730E"/>
    <w:rsid w:val="766617A9"/>
    <w:rsid w:val="76755F71"/>
    <w:rsid w:val="76B776E6"/>
    <w:rsid w:val="76CC2B6B"/>
    <w:rsid w:val="772C7A3D"/>
    <w:rsid w:val="77363B67"/>
    <w:rsid w:val="77405524"/>
    <w:rsid w:val="77724A2D"/>
    <w:rsid w:val="77A4299C"/>
    <w:rsid w:val="783A2B45"/>
    <w:rsid w:val="78CB3D5F"/>
    <w:rsid w:val="78F95E6F"/>
    <w:rsid w:val="79624B5B"/>
    <w:rsid w:val="796D7ECC"/>
    <w:rsid w:val="79AA62EB"/>
    <w:rsid w:val="79AC52D4"/>
    <w:rsid w:val="79D931B1"/>
    <w:rsid w:val="79DC745C"/>
    <w:rsid w:val="79E03C50"/>
    <w:rsid w:val="7A001793"/>
    <w:rsid w:val="7A30787F"/>
    <w:rsid w:val="7A5C182A"/>
    <w:rsid w:val="7A8A6D94"/>
    <w:rsid w:val="7A8B636F"/>
    <w:rsid w:val="7AA34403"/>
    <w:rsid w:val="7ACB7277"/>
    <w:rsid w:val="7ADB4F2E"/>
    <w:rsid w:val="7B134874"/>
    <w:rsid w:val="7B490E6B"/>
    <w:rsid w:val="7B4B1ED7"/>
    <w:rsid w:val="7B873BB3"/>
    <w:rsid w:val="7BA41449"/>
    <w:rsid w:val="7BCE3587"/>
    <w:rsid w:val="7BDD7F8C"/>
    <w:rsid w:val="7C1A36C5"/>
    <w:rsid w:val="7C816A41"/>
    <w:rsid w:val="7C923522"/>
    <w:rsid w:val="7C9F24AC"/>
    <w:rsid w:val="7CA30BC2"/>
    <w:rsid w:val="7CB16890"/>
    <w:rsid w:val="7CED0165"/>
    <w:rsid w:val="7CEE36AD"/>
    <w:rsid w:val="7D065E09"/>
    <w:rsid w:val="7D1D4A7B"/>
    <w:rsid w:val="7D380E1A"/>
    <w:rsid w:val="7D5057FF"/>
    <w:rsid w:val="7D854B56"/>
    <w:rsid w:val="7D987C2B"/>
    <w:rsid w:val="7D9C277B"/>
    <w:rsid w:val="7DE02400"/>
    <w:rsid w:val="7DEB34DD"/>
    <w:rsid w:val="7DEB523E"/>
    <w:rsid w:val="7DFF38B1"/>
    <w:rsid w:val="7E2C6FD7"/>
    <w:rsid w:val="7E3D4AE0"/>
    <w:rsid w:val="7E52676C"/>
    <w:rsid w:val="7E623FD0"/>
    <w:rsid w:val="7E6B1FFC"/>
    <w:rsid w:val="7E847300"/>
    <w:rsid w:val="7EA805E5"/>
    <w:rsid w:val="7ECF1358"/>
    <w:rsid w:val="7EF501E9"/>
    <w:rsid w:val="7F0645A3"/>
    <w:rsid w:val="7F88478F"/>
    <w:rsid w:val="7F923302"/>
    <w:rsid w:val="7F946CDF"/>
    <w:rsid w:val="7F986C72"/>
    <w:rsid w:val="7FAD3C84"/>
    <w:rsid w:val="7FCE7FE8"/>
    <w:rsid w:val="7FDB7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customStyle="1" w:styleId="4">
    <w:name w:val="font31"/>
    <w:basedOn w:val="3"/>
    <w:qFormat/>
    <w:uiPriority w:val="0"/>
    <w:rPr>
      <w:rFonts w:hint="eastAsia" w:ascii="仿宋_GB2312" w:eastAsia="仿宋_GB2312" w:cs="仿宋_GB2312"/>
      <w:color w:val="000000"/>
      <w:sz w:val="22"/>
      <w:szCs w:val="22"/>
      <w:u w:val="none"/>
    </w:rPr>
  </w:style>
  <w:style w:type="character" w:customStyle="1" w:styleId="5">
    <w:name w:val="font11"/>
    <w:basedOn w:val="3"/>
    <w:qFormat/>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2020-06-09T07:21:00Z</dcterms:created>
  <dc:creator>user</dc:creator>
  <cp:lastModifiedBy>user</cp:lastModifiedBy>
  <dcterms:modified xsi:type="dcterms:W3CDTF">2025-04-30T07:27:48Z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