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both"/>
        <w:outlineLvl w:val="0"/>
        <w:rPr>
          <w:rFonts w:ascii="黑体" w:eastAsia="黑体"/>
          <w:sz w:val="36"/>
          <w:szCs w:val="36"/>
          <w:highlight w:val="none"/>
        </w:rPr>
      </w:pPr>
    </w:p>
    <w:p>
      <w:pPr>
        <w:adjustRightInd w:val="0"/>
        <w:snapToGrid w:val="0"/>
        <w:jc w:val="center"/>
        <w:outlineLvl w:val="0"/>
        <w:rPr>
          <w:rFonts w:ascii="黑体" w:eastAsia="黑体"/>
          <w:sz w:val="36"/>
          <w:szCs w:val="36"/>
          <w:highlight w:val="none"/>
        </w:rPr>
      </w:pPr>
      <w:r>
        <w:rPr>
          <w:rFonts w:hint="eastAsia" w:ascii="黑体" w:eastAsia="黑体"/>
          <w:sz w:val="36"/>
          <w:szCs w:val="36"/>
          <w:highlight w:val="none"/>
        </w:rPr>
        <w:t>20</w:t>
      </w:r>
      <w:r>
        <w:rPr>
          <w:rFonts w:ascii="黑体" w:eastAsia="黑体"/>
          <w:sz w:val="36"/>
          <w:szCs w:val="36"/>
          <w:highlight w:val="none"/>
        </w:rPr>
        <w:t>2</w:t>
      </w:r>
      <w:r>
        <w:rPr>
          <w:rFonts w:hint="eastAsia" w:ascii="黑体" w:eastAsia="黑体"/>
          <w:sz w:val="36"/>
          <w:szCs w:val="36"/>
          <w:highlight w:val="none"/>
          <w:lang w:val="en-US" w:eastAsia="zh-CN"/>
        </w:rPr>
        <w:t>4</w:t>
      </w:r>
      <w:r>
        <w:rPr>
          <w:rFonts w:hint="eastAsia" w:ascii="黑体" w:eastAsia="黑体"/>
          <w:sz w:val="36"/>
          <w:szCs w:val="36"/>
          <w:highlight w:val="none"/>
        </w:rPr>
        <w:t>年</w:t>
      </w:r>
      <w:r>
        <w:rPr>
          <w:rFonts w:hint="eastAsia" w:ascii="黑体" w:eastAsia="黑体"/>
          <w:sz w:val="36"/>
          <w:szCs w:val="36"/>
          <w:highlight w:val="none"/>
          <w:lang w:eastAsia="zh-CN"/>
        </w:rPr>
        <w:t>三季度</w:t>
      </w:r>
      <w:r>
        <w:rPr>
          <w:rFonts w:hint="eastAsia" w:ascii="黑体" w:eastAsia="黑体"/>
          <w:sz w:val="36"/>
          <w:szCs w:val="36"/>
          <w:highlight w:val="none"/>
        </w:rPr>
        <w:t>关联交易专项报告</w:t>
      </w:r>
      <w:r>
        <w:rPr>
          <w:rStyle w:val="13"/>
          <w:rFonts w:hint="eastAsia" w:ascii="黑体" w:eastAsia="黑体"/>
          <w:sz w:val="36"/>
          <w:szCs w:val="36"/>
          <w:highlight w:val="none"/>
        </w:rPr>
        <w:footnoteReference w:id="0"/>
      </w:r>
    </w:p>
    <w:p>
      <w:pPr>
        <w:adjustRightInd w:val="0"/>
        <w:snapToGrid w:val="0"/>
        <w:jc w:val="center"/>
        <w:rPr>
          <w:rFonts w:ascii="黑体" w:eastAsia="黑体"/>
          <w:sz w:val="36"/>
          <w:szCs w:val="36"/>
          <w:highlight w:val="none"/>
        </w:rPr>
      </w:pPr>
    </w:p>
    <w:p>
      <w:pPr>
        <w:spacing w:line="600" w:lineRule="exact"/>
        <w:ind w:firstLine="600" w:firstLineChars="200"/>
        <w:rPr>
          <w:rFonts w:ascii="仿宋_GB2312" w:hAnsi="仿宋" w:eastAsia="仿宋_GB2312" w:cs="KFWCQV+ËÎÌå"/>
          <w:sz w:val="30"/>
          <w:szCs w:val="30"/>
          <w:highlight w:val="none"/>
        </w:rPr>
      </w:pPr>
      <w:r>
        <w:rPr>
          <w:rFonts w:hint="eastAsia" w:ascii="仿宋_GB2312" w:hAnsi="仿宋" w:eastAsia="仿宋_GB2312" w:cs="KFWCQV+ËÎÌå"/>
          <w:sz w:val="30"/>
          <w:szCs w:val="30"/>
          <w:highlight w:val="none"/>
        </w:rPr>
        <w:t>根据《银行保险机构关联交易管理办法》及本行《章程》《关联交易管理办法》的有关规定，现将本行</w:t>
      </w:r>
      <w:r>
        <w:rPr>
          <w:rFonts w:ascii="仿宋_GB2312" w:hAnsi="仿宋" w:eastAsia="仿宋_GB2312"/>
          <w:sz w:val="30"/>
          <w:szCs w:val="30"/>
          <w:highlight w:val="none"/>
        </w:rPr>
        <w:t>202</w:t>
      </w:r>
      <w:r>
        <w:rPr>
          <w:rFonts w:hint="eastAsia" w:ascii="仿宋_GB2312" w:hAnsi="仿宋" w:eastAsia="仿宋_GB2312"/>
          <w:sz w:val="30"/>
          <w:szCs w:val="30"/>
          <w:highlight w:val="none"/>
          <w:lang w:val="en-US" w:eastAsia="zh-CN"/>
        </w:rPr>
        <w:t>4</w:t>
      </w:r>
      <w:r>
        <w:rPr>
          <w:rFonts w:hint="eastAsia" w:ascii="仿宋_GB2312" w:hAnsi="仿宋" w:eastAsia="仿宋_GB2312" w:cs="KFWCQV+ËÎÌå"/>
          <w:sz w:val="30"/>
          <w:szCs w:val="30"/>
          <w:highlight w:val="none"/>
        </w:rPr>
        <w:t>年</w:t>
      </w:r>
      <w:r>
        <w:rPr>
          <w:rFonts w:hint="eastAsia" w:ascii="仿宋_GB2312" w:hAnsi="仿宋" w:eastAsia="仿宋_GB2312" w:cs="KFWCQV+ËÎÌå"/>
          <w:sz w:val="30"/>
          <w:szCs w:val="30"/>
          <w:highlight w:val="none"/>
          <w:lang w:eastAsia="zh-CN"/>
        </w:rPr>
        <w:t>三季度</w:t>
      </w:r>
      <w:r>
        <w:rPr>
          <w:rFonts w:hint="eastAsia" w:ascii="仿宋_GB2312" w:hAnsi="仿宋" w:eastAsia="仿宋_GB2312" w:cs="KFWCQV+ËÎÌå"/>
          <w:sz w:val="30"/>
          <w:szCs w:val="30"/>
          <w:highlight w:val="none"/>
        </w:rPr>
        <w:t>关联交易情况报告如下：</w:t>
      </w:r>
    </w:p>
    <w:p>
      <w:pPr>
        <w:spacing w:line="600" w:lineRule="exact"/>
        <w:ind w:firstLine="600" w:firstLineChars="200"/>
        <w:outlineLvl w:val="0"/>
        <w:rPr>
          <w:rFonts w:ascii="黑体" w:hAnsi="黑体" w:eastAsia="黑体" w:cs="KFWCQV+ËÎÌå"/>
          <w:sz w:val="30"/>
          <w:szCs w:val="30"/>
          <w:highlight w:val="none"/>
        </w:rPr>
      </w:pPr>
      <w:r>
        <w:rPr>
          <w:rFonts w:hint="eastAsia" w:ascii="黑体" w:hAnsi="黑体" w:eastAsia="黑体" w:cs="KFWCQV+ËÎÌå"/>
          <w:sz w:val="30"/>
          <w:szCs w:val="30"/>
          <w:highlight w:val="none"/>
        </w:rPr>
        <w:t>一、关联交易管理情况</w:t>
      </w:r>
    </w:p>
    <w:p>
      <w:pPr>
        <w:spacing w:line="600" w:lineRule="exact"/>
        <w:ind w:firstLine="600" w:firstLineChars="200"/>
        <w:rPr>
          <w:rFonts w:hint="eastAsia" w:ascii="仿宋_GB2312" w:hAnsi="仿宋" w:eastAsia="仿宋_GB2312" w:cs="JNNOKE+ËÎÌå"/>
          <w:sz w:val="30"/>
          <w:szCs w:val="30"/>
          <w:highlight w:val="none"/>
          <w:lang w:eastAsia="zh-CN"/>
        </w:rPr>
      </w:pPr>
      <w:r>
        <w:rPr>
          <w:rFonts w:hint="eastAsia" w:ascii="仿宋_GB2312" w:hAnsi="仿宋" w:eastAsia="仿宋_GB2312" w:cs="JNNOKE+ËÎÌå"/>
          <w:sz w:val="30"/>
          <w:szCs w:val="30"/>
          <w:highlight w:val="none"/>
          <w:lang w:eastAsia="zh-CN"/>
        </w:rPr>
        <w:t>三季度</w:t>
      </w:r>
      <w:r>
        <w:rPr>
          <w:rFonts w:hint="eastAsia" w:ascii="仿宋_GB2312" w:hAnsi="仿宋" w:eastAsia="仿宋_GB2312" w:cs="JNNOKE+ËÎÌå"/>
          <w:sz w:val="30"/>
          <w:szCs w:val="30"/>
          <w:highlight w:val="none"/>
        </w:rPr>
        <w:t>，本行董事会风险管理及关联交易控制委员会召开会议</w:t>
      </w:r>
      <w:r>
        <w:rPr>
          <w:rFonts w:hint="eastAsia" w:ascii="仿宋_GB2312" w:hAnsi="仿宋" w:eastAsia="仿宋_GB2312" w:cs="JNNOKE+ËÎÌå"/>
          <w:sz w:val="30"/>
          <w:szCs w:val="30"/>
          <w:highlight w:val="none"/>
          <w:lang w:val="en-US" w:eastAsia="zh-CN"/>
        </w:rPr>
        <w:t>1</w:t>
      </w:r>
      <w:r>
        <w:rPr>
          <w:rFonts w:hint="eastAsia" w:ascii="仿宋_GB2312" w:hAnsi="仿宋" w:eastAsia="仿宋_GB2312" w:cs="JNNOKE+ËÎÌå"/>
          <w:sz w:val="30"/>
          <w:szCs w:val="30"/>
          <w:highlight w:val="none"/>
        </w:rPr>
        <w:t>次，审议通过了</w:t>
      </w:r>
      <w:r>
        <w:rPr>
          <w:rFonts w:hint="eastAsia" w:ascii="仿宋_GB2312" w:hAnsi="宋体" w:eastAsia="仿宋_GB2312"/>
          <w:sz w:val="30"/>
          <w:szCs w:val="30"/>
          <w:highlight w:val="none"/>
          <w:lang w:eastAsia="zh-CN"/>
        </w:rPr>
        <w:t>《2024年二季度关联交易专项报告》《2024年二季度关联交易备案报告》《2024年</w:t>
      </w:r>
      <w:r>
        <w:rPr>
          <w:rFonts w:hint="eastAsia" w:ascii="仿宋_GB2312" w:hAnsi="宋体" w:eastAsia="仿宋_GB2312"/>
          <w:sz w:val="30"/>
          <w:szCs w:val="30"/>
          <w:highlight w:val="none"/>
          <w:lang w:val="en-US" w:eastAsia="zh-CN"/>
        </w:rPr>
        <w:t>6</w:t>
      </w:r>
      <w:r>
        <w:rPr>
          <w:rFonts w:hint="eastAsia" w:ascii="仿宋_GB2312" w:hAnsi="宋体" w:eastAsia="仿宋_GB2312"/>
          <w:sz w:val="30"/>
          <w:szCs w:val="30"/>
          <w:highlight w:val="none"/>
          <w:lang w:eastAsia="zh-CN"/>
        </w:rPr>
        <w:t>月末董事关联关系情况报告》</w:t>
      </w:r>
      <w:r>
        <w:rPr>
          <w:rFonts w:hint="eastAsia" w:ascii="仿宋_GB2312" w:hAnsi="宋体" w:eastAsia="仿宋_GB2312"/>
          <w:sz w:val="30"/>
          <w:szCs w:val="30"/>
          <w:highlight w:val="none"/>
          <w:lang w:val="en-US" w:eastAsia="zh-CN"/>
        </w:rPr>
        <w:t>等</w:t>
      </w:r>
      <w:r>
        <w:rPr>
          <w:rFonts w:hint="eastAsia" w:ascii="仿宋_GB2312" w:hAnsi="宋体" w:eastAsia="仿宋_GB2312"/>
          <w:sz w:val="30"/>
          <w:szCs w:val="30"/>
          <w:highlight w:val="none"/>
          <w:lang w:eastAsia="zh-CN"/>
        </w:rPr>
        <w:t>议案</w:t>
      </w:r>
      <w:r>
        <w:rPr>
          <w:rFonts w:hint="eastAsia" w:ascii="仿宋_GB2312" w:hAnsi="仿宋" w:eastAsia="仿宋_GB2312" w:cs="JNNOKE+ËÎÌå"/>
          <w:sz w:val="30"/>
          <w:szCs w:val="30"/>
          <w:highlight w:val="none"/>
        </w:rPr>
        <w:t>。</w:t>
      </w:r>
      <w:r>
        <w:rPr>
          <w:rFonts w:hint="eastAsia" w:ascii="仿宋" w:hAnsi="仿宋" w:eastAsia="仿宋" w:cs="JNNOKE+ËÎÌå"/>
          <w:sz w:val="30"/>
          <w:szCs w:val="30"/>
          <w:highlight w:val="none"/>
        </w:rPr>
        <w:t>董事会召开与关联交易相关的会议1次，审阅了《</w:t>
      </w:r>
      <w:r>
        <w:rPr>
          <w:rFonts w:ascii="仿宋" w:hAnsi="仿宋" w:eastAsia="仿宋"/>
          <w:sz w:val="30"/>
          <w:szCs w:val="30"/>
          <w:highlight w:val="none"/>
        </w:rPr>
        <w:t>202</w:t>
      </w:r>
      <w:r>
        <w:rPr>
          <w:rFonts w:hint="eastAsia" w:ascii="仿宋" w:hAnsi="仿宋" w:eastAsia="仿宋"/>
          <w:sz w:val="30"/>
          <w:szCs w:val="30"/>
          <w:highlight w:val="none"/>
          <w:lang w:val="en-US" w:eastAsia="zh-CN"/>
        </w:rPr>
        <w:t>4</w:t>
      </w:r>
      <w:r>
        <w:rPr>
          <w:rFonts w:ascii="仿宋" w:hAnsi="仿宋" w:eastAsia="仿宋"/>
          <w:sz w:val="30"/>
          <w:szCs w:val="30"/>
          <w:highlight w:val="none"/>
        </w:rPr>
        <w:t>年</w:t>
      </w:r>
      <w:r>
        <w:rPr>
          <w:rFonts w:hint="eastAsia" w:ascii="仿宋" w:hAnsi="仿宋" w:eastAsia="仿宋"/>
          <w:sz w:val="30"/>
          <w:szCs w:val="30"/>
          <w:highlight w:val="none"/>
          <w:lang w:val="en-US" w:eastAsia="zh-CN"/>
        </w:rPr>
        <w:t>6</w:t>
      </w:r>
      <w:r>
        <w:rPr>
          <w:rFonts w:ascii="仿宋" w:hAnsi="仿宋" w:eastAsia="仿宋"/>
          <w:sz w:val="30"/>
          <w:szCs w:val="30"/>
          <w:highlight w:val="none"/>
        </w:rPr>
        <w:t>月末董事关联关系情况报告</w:t>
      </w:r>
      <w:r>
        <w:rPr>
          <w:rFonts w:hint="eastAsia" w:ascii="仿宋" w:hAnsi="仿宋" w:eastAsia="仿宋" w:cs="JNNOKE+ËÎÌå"/>
          <w:sz w:val="30"/>
          <w:szCs w:val="30"/>
          <w:highlight w:val="none"/>
        </w:rPr>
        <w:t>》。</w:t>
      </w:r>
    </w:p>
    <w:p>
      <w:pPr>
        <w:spacing w:line="600" w:lineRule="exact"/>
        <w:ind w:firstLine="600" w:firstLineChars="200"/>
        <w:outlineLvl w:val="0"/>
        <w:rPr>
          <w:rFonts w:ascii="黑体" w:hAnsi="黑体" w:eastAsia="黑体" w:cs="KFWCQV+ËÎÌå"/>
          <w:sz w:val="30"/>
          <w:szCs w:val="30"/>
          <w:highlight w:val="none"/>
        </w:rPr>
      </w:pPr>
      <w:r>
        <w:rPr>
          <w:rFonts w:hint="eastAsia" w:ascii="黑体" w:hAnsi="黑体" w:eastAsia="黑体" w:cs="KFWCQV+ËÎÌå"/>
          <w:sz w:val="30"/>
          <w:szCs w:val="30"/>
          <w:highlight w:val="none"/>
        </w:rPr>
        <w:t>二、关联交易制度执行情况</w:t>
      </w:r>
    </w:p>
    <w:p>
      <w:pPr>
        <w:spacing w:line="600" w:lineRule="exact"/>
        <w:ind w:firstLine="600" w:firstLineChars="200"/>
        <w:rPr>
          <w:rFonts w:ascii="仿宋_GB2312" w:hAnsi="仿宋" w:eastAsia="仿宋_GB2312" w:cs="CVGVTE+ËÎÌå"/>
          <w:sz w:val="30"/>
          <w:szCs w:val="30"/>
          <w:highlight w:val="none"/>
        </w:rPr>
      </w:pPr>
      <w:r>
        <w:rPr>
          <w:rFonts w:hint="eastAsia" w:ascii="仿宋_GB2312" w:hAnsi="仿宋" w:eastAsia="仿宋_GB2312" w:cs="JNNOKE+ËÎÌå"/>
          <w:sz w:val="30"/>
          <w:szCs w:val="30"/>
          <w:highlight w:val="none"/>
        </w:rPr>
        <w:t>（一）</w:t>
      </w:r>
      <w:r>
        <w:rPr>
          <w:rFonts w:hint="eastAsia" w:ascii="仿宋_GB2312" w:hAnsi="仿宋" w:eastAsia="仿宋_GB2312" w:cs="CVGVTE+ËÎÌå"/>
          <w:sz w:val="30"/>
          <w:szCs w:val="30"/>
          <w:highlight w:val="none"/>
        </w:rPr>
        <w:t>关联交易定价情况</w:t>
      </w:r>
    </w:p>
    <w:p>
      <w:pPr>
        <w:spacing w:line="600" w:lineRule="exact"/>
        <w:ind w:firstLine="600" w:firstLineChars="200"/>
        <w:rPr>
          <w:rFonts w:ascii="仿宋_GB2312" w:hAnsi="仿宋" w:eastAsia="仿宋_GB2312" w:cs="CVGVTE+ËÎÌå"/>
          <w:sz w:val="30"/>
          <w:szCs w:val="30"/>
          <w:highlight w:val="none"/>
        </w:rPr>
      </w:pPr>
      <w:r>
        <w:rPr>
          <w:rFonts w:hint="eastAsia" w:ascii="仿宋_GB2312" w:hAnsi="仿宋" w:eastAsia="仿宋_GB2312" w:cs="CVGVTE+ËÎÌå"/>
          <w:sz w:val="30"/>
          <w:szCs w:val="30"/>
          <w:highlight w:val="none"/>
        </w:rPr>
        <w:t>本行与关联方的关联交易坚持遵循一般商业条款和正常业务程序进行，其定价原则与独立第三方交易一致，即以不优于对非关联方同类交易的条件进行,不存在给其他股东合法利益造成损害的情形，具备合法性与公允性。</w:t>
      </w:r>
    </w:p>
    <w:p>
      <w:pPr>
        <w:spacing w:line="600" w:lineRule="exact"/>
        <w:ind w:firstLine="600" w:firstLineChars="200"/>
        <w:rPr>
          <w:rFonts w:hint="eastAsia" w:ascii="仿宋_GB2312" w:hAnsi="仿宋" w:eastAsia="仿宋_GB2312" w:cs="JNNOKE+ËÎÌå"/>
          <w:sz w:val="30"/>
          <w:szCs w:val="30"/>
          <w:highlight w:val="none"/>
          <w:lang w:eastAsia="zh-CN"/>
        </w:rPr>
      </w:pPr>
      <w:r>
        <w:rPr>
          <w:rFonts w:hint="eastAsia" w:ascii="仿宋_GB2312" w:hAnsi="仿宋" w:eastAsia="仿宋_GB2312" w:cs="JNNOKE+ËÎÌå"/>
          <w:sz w:val="30"/>
          <w:szCs w:val="30"/>
          <w:highlight w:val="none"/>
          <w:lang w:eastAsia="zh-CN"/>
        </w:rPr>
        <w:t>（二）关联交易流程管理情况</w:t>
      </w:r>
    </w:p>
    <w:p>
      <w:pPr>
        <w:spacing w:line="600" w:lineRule="exact"/>
        <w:ind w:firstLine="600" w:firstLineChars="200"/>
        <w:rPr>
          <w:rFonts w:hint="eastAsia" w:ascii="仿宋_GB2312" w:hAnsi="仿宋" w:eastAsia="仿宋_GB2312" w:cs="JNNOKE+ËÎÌå"/>
          <w:sz w:val="30"/>
          <w:szCs w:val="30"/>
          <w:highlight w:val="none"/>
          <w:lang w:val="en-US" w:eastAsia="zh-CN"/>
        </w:rPr>
      </w:pPr>
      <w:r>
        <w:rPr>
          <w:rFonts w:hint="eastAsia" w:ascii="仿宋_GB2312" w:hAnsi="仿宋" w:eastAsia="仿宋_GB2312" w:cs="JNNOKE+ËÎÌå"/>
          <w:sz w:val="30"/>
          <w:szCs w:val="30"/>
          <w:highlight w:val="none"/>
          <w:lang w:val="en-US" w:eastAsia="zh-CN"/>
        </w:rPr>
        <w:t>本行授信类及非授信类交易业务流程均加入关联交易审核节点，严格落实关联方审批规范及限额管理。</w:t>
      </w:r>
    </w:p>
    <w:p>
      <w:pPr>
        <w:spacing w:line="600" w:lineRule="exact"/>
        <w:ind w:firstLine="600" w:firstLineChars="200"/>
        <w:rPr>
          <w:rFonts w:ascii="仿宋_GB2312" w:hAnsi="仿宋" w:eastAsia="仿宋_GB2312" w:cs="JNNOKE+ËÎÌå"/>
          <w:sz w:val="30"/>
          <w:szCs w:val="30"/>
          <w:highlight w:val="none"/>
        </w:rPr>
      </w:pPr>
      <w:r>
        <w:rPr>
          <w:rFonts w:hint="eastAsia" w:ascii="仿宋_GB2312" w:hAnsi="仿宋" w:eastAsia="仿宋_GB2312" w:cs="JNNOKE+ËÎÌå"/>
          <w:sz w:val="30"/>
          <w:szCs w:val="30"/>
          <w:highlight w:val="none"/>
        </w:rPr>
        <w:t>（</w:t>
      </w:r>
      <w:r>
        <w:rPr>
          <w:rFonts w:hint="eastAsia" w:ascii="仿宋_GB2312" w:hAnsi="仿宋" w:eastAsia="仿宋_GB2312" w:cs="JNNOKE+ËÎÌå"/>
          <w:sz w:val="30"/>
          <w:szCs w:val="30"/>
          <w:highlight w:val="none"/>
          <w:lang w:eastAsia="zh-CN"/>
        </w:rPr>
        <w:t>三</w:t>
      </w:r>
      <w:r>
        <w:rPr>
          <w:rFonts w:hint="eastAsia" w:ascii="仿宋_GB2312" w:hAnsi="仿宋" w:eastAsia="仿宋_GB2312" w:cs="JNNOKE+ËÎÌå"/>
          <w:sz w:val="30"/>
          <w:szCs w:val="30"/>
          <w:highlight w:val="none"/>
        </w:rPr>
        <w:t>）关联交易披露与报告情况</w:t>
      </w:r>
    </w:p>
    <w:p>
      <w:pPr>
        <w:spacing w:line="600" w:lineRule="exact"/>
        <w:ind w:firstLine="600" w:firstLineChars="200"/>
        <w:outlineLvl w:val="0"/>
        <w:rPr>
          <w:rFonts w:hint="eastAsia" w:ascii="仿宋_GB2312" w:hAnsi="仿宋" w:eastAsia="仿宋_GB2312" w:cs="JNNOKE+ËÎÌå"/>
          <w:sz w:val="30"/>
          <w:szCs w:val="30"/>
          <w:highlight w:val="none"/>
          <w:lang w:eastAsia="zh-CN"/>
        </w:rPr>
      </w:pPr>
      <w:r>
        <w:rPr>
          <w:rFonts w:hint="eastAsia" w:ascii="仿宋_GB2312" w:hAnsi="仿宋" w:eastAsia="仿宋_GB2312" w:cs="JNNOKE+ËÎÌå"/>
          <w:sz w:val="30"/>
          <w:szCs w:val="30"/>
          <w:highlight w:val="none"/>
          <w:lang w:eastAsia="zh-CN"/>
        </w:rPr>
        <w:t>报告期内，</w:t>
      </w:r>
      <w:r>
        <w:rPr>
          <w:rFonts w:hint="eastAsia" w:ascii="仿宋_GB2312" w:hAnsi="仿宋" w:eastAsia="仿宋_GB2312" w:cs="JNNOKE+ËÎÌå"/>
          <w:sz w:val="30"/>
          <w:szCs w:val="30"/>
          <w:highlight w:val="none"/>
        </w:rPr>
        <w:t>本行严格按照监管机构规定及本行相关制度要求，履行</w:t>
      </w:r>
      <w:r>
        <w:rPr>
          <w:rFonts w:hint="eastAsia" w:ascii="仿宋_GB2312" w:hAnsi="仿宋" w:eastAsia="仿宋_GB2312" w:cs="JNNOKE+ËÎÌå"/>
          <w:sz w:val="30"/>
          <w:szCs w:val="30"/>
          <w:highlight w:val="none"/>
          <w:lang w:eastAsia="zh-CN"/>
        </w:rPr>
        <w:t>关联交易信息披露义务，切实保障股东对本行关联交易的知情权，维护股东利益。本行</w:t>
      </w:r>
      <w:r>
        <w:rPr>
          <w:rFonts w:hint="eastAsia" w:ascii="仿宋_GB2312" w:hAnsi="仿宋" w:eastAsia="仿宋_GB2312" w:cs="JNNOKE+ËÎÌå"/>
          <w:sz w:val="30"/>
          <w:szCs w:val="30"/>
          <w:highlight w:val="none"/>
          <w:lang w:val="en-US" w:eastAsia="zh-CN"/>
        </w:rPr>
        <w:t>二</w:t>
      </w:r>
      <w:r>
        <w:rPr>
          <w:rFonts w:hint="eastAsia" w:ascii="仿宋_GB2312" w:hAnsi="仿宋" w:eastAsia="仿宋_GB2312" w:cs="JNNOKE+ËÎÌå"/>
          <w:sz w:val="30"/>
          <w:szCs w:val="30"/>
          <w:highlight w:val="none"/>
          <w:lang w:eastAsia="zh-CN"/>
        </w:rPr>
        <w:t>季度关联交易在官方网站进行了合并披露。</w:t>
      </w:r>
    </w:p>
    <w:p>
      <w:pPr>
        <w:spacing w:line="600" w:lineRule="exact"/>
        <w:ind w:firstLine="600" w:firstLineChars="200"/>
        <w:outlineLvl w:val="0"/>
        <w:rPr>
          <w:rFonts w:ascii="黑体" w:hAnsi="黑体" w:eastAsia="黑体" w:cs="KFWCQV+ËÎÌå"/>
          <w:sz w:val="30"/>
          <w:szCs w:val="30"/>
          <w:highlight w:val="none"/>
        </w:rPr>
      </w:pPr>
      <w:r>
        <w:rPr>
          <w:rFonts w:hint="eastAsia" w:ascii="黑体" w:hAnsi="黑体" w:eastAsia="黑体" w:cs="KFWCQV+ËÎÌå"/>
          <w:sz w:val="30"/>
          <w:szCs w:val="30"/>
          <w:highlight w:val="none"/>
        </w:rPr>
        <w:t>三、</w:t>
      </w:r>
      <w:r>
        <w:rPr>
          <w:rFonts w:ascii="黑体" w:hAnsi="黑体" w:eastAsia="黑体" w:cs="KFWCQV+ËÎÌå"/>
          <w:sz w:val="30"/>
          <w:szCs w:val="30"/>
          <w:highlight w:val="none"/>
        </w:rPr>
        <w:t>202</w:t>
      </w:r>
      <w:r>
        <w:rPr>
          <w:rFonts w:hint="eastAsia" w:ascii="黑体" w:hAnsi="黑体" w:eastAsia="黑体" w:cs="KFWCQV+ËÎÌå"/>
          <w:sz w:val="30"/>
          <w:szCs w:val="30"/>
          <w:highlight w:val="none"/>
          <w:lang w:val="en-US" w:eastAsia="zh-CN"/>
        </w:rPr>
        <w:t>4</w:t>
      </w:r>
      <w:r>
        <w:rPr>
          <w:rFonts w:hint="eastAsia" w:ascii="黑体" w:hAnsi="黑体" w:eastAsia="黑体" w:cs="KFWCQV+ËÎÌå"/>
          <w:sz w:val="30"/>
          <w:szCs w:val="30"/>
          <w:highlight w:val="none"/>
        </w:rPr>
        <w:t>年</w:t>
      </w:r>
      <w:r>
        <w:rPr>
          <w:rFonts w:hint="eastAsia" w:ascii="黑体" w:hAnsi="黑体" w:eastAsia="黑体" w:cs="KFWCQV+ËÎÌå"/>
          <w:sz w:val="30"/>
          <w:szCs w:val="30"/>
          <w:highlight w:val="none"/>
          <w:lang w:eastAsia="zh-CN"/>
        </w:rPr>
        <w:t>三季度</w:t>
      </w:r>
      <w:r>
        <w:rPr>
          <w:rFonts w:hint="eastAsia" w:ascii="黑体" w:hAnsi="黑体" w:eastAsia="黑体" w:cs="KFWCQV+ËÎÌå"/>
          <w:sz w:val="30"/>
          <w:szCs w:val="30"/>
          <w:highlight w:val="none"/>
        </w:rPr>
        <w:t>主要关联交易情况</w:t>
      </w:r>
    </w:p>
    <w:p>
      <w:pPr>
        <w:spacing w:line="600" w:lineRule="exact"/>
        <w:ind w:firstLine="600" w:firstLineChars="200"/>
        <w:rPr>
          <w:rFonts w:cs="KFWCQV+ËÎÌå" w:asciiTheme="minorEastAsia" w:hAnsiTheme="minorEastAsia" w:eastAsiaTheme="minorEastAsia"/>
          <w:sz w:val="22"/>
          <w:highlight w:val="none"/>
        </w:rPr>
      </w:pPr>
      <w:r>
        <w:rPr>
          <w:rFonts w:hint="eastAsia" w:ascii="仿宋_GB2312" w:hAnsi="仿宋" w:eastAsia="仿宋_GB2312" w:cs="KFWCQV+ËÎÌå"/>
          <w:sz w:val="30"/>
          <w:szCs w:val="30"/>
          <w:highlight w:val="none"/>
        </w:rPr>
        <w:t>截至</w:t>
      </w:r>
      <w:r>
        <w:rPr>
          <w:rFonts w:ascii="仿宋_GB2312" w:hAnsi="仿宋" w:eastAsia="仿宋_GB2312" w:cs="KFWCQV+ËÎÌå"/>
          <w:sz w:val="30"/>
          <w:szCs w:val="30"/>
          <w:highlight w:val="none"/>
        </w:rPr>
        <w:t>202</w:t>
      </w:r>
      <w:r>
        <w:rPr>
          <w:rFonts w:hint="eastAsia" w:ascii="仿宋_GB2312" w:hAnsi="仿宋" w:eastAsia="仿宋_GB2312" w:cs="KFWCQV+ËÎÌå"/>
          <w:sz w:val="30"/>
          <w:szCs w:val="30"/>
          <w:highlight w:val="none"/>
          <w:lang w:val="en-US" w:eastAsia="zh-CN"/>
        </w:rPr>
        <w:t>4</w:t>
      </w:r>
      <w:r>
        <w:rPr>
          <w:rFonts w:hint="eastAsia" w:ascii="仿宋_GB2312" w:hAnsi="仿宋" w:eastAsia="仿宋_GB2312" w:cs="KFWCQV+ËÎÌå"/>
          <w:sz w:val="30"/>
          <w:szCs w:val="30"/>
          <w:highlight w:val="none"/>
        </w:rPr>
        <w:t>年</w:t>
      </w:r>
      <w:r>
        <w:rPr>
          <w:rFonts w:hint="eastAsia" w:ascii="仿宋_GB2312" w:hAnsi="仿宋" w:eastAsia="仿宋_GB2312" w:cs="KFWCQV+ËÎÌå"/>
          <w:sz w:val="30"/>
          <w:szCs w:val="30"/>
          <w:highlight w:val="none"/>
          <w:lang w:eastAsia="zh-CN"/>
        </w:rPr>
        <w:t>三季度</w:t>
      </w:r>
      <w:r>
        <w:rPr>
          <w:rFonts w:hint="eastAsia" w:ascii="仿宋_GB2312" w:hAnsi="仿宋" w:eastAsia="仿宋_GB2312" w:cs="KFWCQV+ËÎÌå"/>
          <w:sz w:val="30"/>
          <w:szCs w:val="30"/>
          <w:highlight w:val="none"/>
        </w:rPr>
        <w:t>末，本行与关联方企业之间发生的具体交易情况如下：</w:t>
      </w:r>
    </w:p>
    <w:p>
      <w:pPr>
        <w:ind w:firstLine="562" w:firstLineChars="200"/>
        <w:rPr>
          <w:rFonts w:ascii="仿宋" w:hAnsi="仿宋" w:eastAsia="仿宋" w:cs="KFWCQV+ËÎÌå"/>
          <w:b/>
          <w:bCs/>
          <w:sz w:val="28"/>
          <w:szCs w:val="28"/>
          <w:highlight w:val="none"/>
        </w:rPr>
      </w:pPr>
      <w:r>
        <w:rPr>
          <w:rFonts w:hint="eastAsia" w:ascii="仿宋" w:hAnsi="仿宋" w:eastAsia="仿宋" w:cs="KFWCQV+ËÎÌå"/>
          <w:b/>
          <w:bCs/>
          <w:sz w:val="28"/>
          <w:szCs w:val="28"/>
          <w:highlight w:val="none"/>
        </w:rPr>
        <w:t>1、存款类关联交易</w:t>
      </w:r>
    </w:p>
    <w:p>
      <w:pPr>
        <w:spacing w:line="600" w:lineRule="exact"/>
        <w:ind w:firstLine="440" w:firstLineChars="200"/>
        <w:jc w:val="right"/>
        <w:rPr>
          <w:rFonts w:ascii="仿宋_GB2312" w:hAnsi="仿宋" w:eastAsia="仿宋_GB2312" w:cs="KFWCQV+ËÎÌå"/>
          <w:sz w:val="30"/>
          <w:szCs w:val="30"/>
          <w:highlight w:val="none"/>
        </w:rPr>
      </w:pPr>
      <w:r>
        <w:rPr>
          <w:rFonts w:cs="KFWCQV+ËÎÌå" w:asciiTheme="minorEastAsia" w:hAnsiTheme="minorEastAsia" w:eastAsiaTheme="minorEastAsia"/>
          <w:sz w:val="22"/>
          <w:highlight w:val="none"/>
        </w:rPr>
        <w:t>单位</w:t>
      </w:r>
      <w:r>
        <w:rPr>
          <w:rFonts w:hint="eastAsia" w:cs="KFWCQV+ËÎÌå" w:asciiTheme="minorEastAsia" w:hAnsiTheme="minorEastAsia" w:eastAsiaTheme="minorEastAsia"/>
          <w:sz w:val="22"/>
          <w:highlight w:val="none"/>
        </w:rPr>
        <w:t>：万元</w:t>
      </w:r>
    </w:p>
    <w:tbl>
      <w:tblPr>
        <w:tblStyle w:val="8"/>
        <w:tblW w:w="9570" w:type="dxa"/>
        <w:jc w:val="center"/>
        <w:tblInd w:w="0" w:type="dxa"/>
        <w:tblLayout w:type="fixed"/>
        <w:tblCellMar>
          <w:top w:w="0" w:type="dxa"/>
          <w:left w:w="0" w:type="dxa"/>
          <w:bottom w:w="0" w:type="dxa"/>
          <w:right w:w="0" w:type="dxa"/>
        </w:tblCellMar>
      </w:tblPr>
      <w:tblGrid>
        <w:gridCol w:w="3953"/>
        <w:gridCol w:w="1130"/>
        <w:gridCol w:w="1487"/>
        <w:gridCol w:w="1636"/>
        <w:gridCol w:w="1364"/>
      </w:tblGrid>
      <w:tr>
        <w:tblPrEx>
          <w:tblLayout w:type="fixed"/>
          <w:tblCellMar>
            <w:top w:w="0" w:type="dxa"/>
            <w:left w:w="0" w:type="dxa"/>
            <w:bottom w:w="0" w:type="dxa"/>
            <w:right w:w="0" w:type="dxa"/>
          </w:tblCellMar>
        </w:tblPrEx>
        <w:trPr>
          <w:trHeight w:val="606" w:hRule="atLeast"/>
          <w:jc w:val="center"/>
        </w:trPr>
        <w:tc>
          <w:tcPr>
            <w:tcW w:w="3953"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0"/>
                <w:szCs w:val="20"/>
                <w:u w:val="none"/>
                <w:lang w:val="en-US" w:eastAsia="zh-CN" w:bidi="ar"/>
              </w:rPr>
              <w:t>关联方类型</w:t>
            </w:r>
          </w:p>
        </w:tc>
        <w:tc>
          <w:tcPr>
            <w:tcW w:w="1130"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0"/>
                <w:szCs w:val="20"/>
                <w:u w:val="none"/>
                <w:lang w:val="en-US" w:eastAsia="zh-CN" w:bidi="ar"/>
              </w:rPr>
              <w:t>9月末吸收存款总计</w:t>
            </w:r>
          </w:p>
        </w:tc>
        <w:tc>
          <w:tcPr>
            <w:tcW w:w="1487"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0"/>
                <w:szCs w:val="20"/>
                <w:u w:val="none"/>
                <w:lang w:val="en-US" w:eastAsia="zh-CN" w:bidi="ar"/>
              </w:rPr>
              <w:t>其中：保证金类</w:t>
            </w:r>
          </w:p>
        </w:tc>
        <w:tc>
          <w:tcPr>
            <w:tcW w:w="1636"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0"/>
                <w:szCs w:val="20"/>
                <w:u w:val="none"/>
                <w:lang w:val="en-US" w:eastAsia="zh-CN" w:bidi="ar"/>
              </w:rPr>
              <w:t>定期存款类</w:t>
            </w:r>
          </w:p>
        </w:tc>
        <w:tc>
          <w:tcPr>
            <w:tcW w:w="1364"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0"/>
                <w:szCs w:val="20"/>
                <w:u w:val="none"/>
                <w:lang w:val="en-US" w:eastAsia="zh-CN" w:bidi="ar"/>
              </w:rPr>
              <w:t>结构性存款类</w:t>
            </w:r>
          </w:p>
        </w:tc>
      </w:tr>
      <w:tr>
        <w:tblPrEx>
          <w:tblLayout w:type="fixed"/>
          <w:tblCellMar>
            <w:top w:w="0" w:type="dxa"/>
            <w:left w:w="0" w:type="dxa"/>
            <w:bottom w:w="0" w:type="dxa"/>
            <w:right w:w="0" w:type="dxa"/>
          </w:tblCellMar>
        </w:tblPrEx>
        <w:trPr>
          <w:trHeight w:val="305" w:hRule="atLeast"/>
          <w:jc w:val="center"/>
        </w:trPr>
        <w:tc>
          <w:tcPr>
            <w:tcW w:w="395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0"/>
                <w:szCs w:val="20"/>
                <w:u w:val="none"/>
                <w:lang w:val="en-US" w:eastAsia="zh-CN" w:bidi="ar"/>
              </w:rPr>
              <w:t>持有本行5%以上(含5%)股份的股东</w:t>
            </w:r>
          </w:p>
        </w:tc>
        <w:tc>
          <w:tcPr>
            <w:tcW w:w="1130"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16"/>
                <w:szCs w:val="16"/>
                <w:highlight w:val="none"/>
              </w:rPr>
            </w:pPr>
            <w:r>
              <w:rPr>
                <w:rFonts w:hint="eastAsia" w:ascii="宋体" w:hAnsi="宋体" w:eastAsia="宋体" w:cs="宋体"/>
                <w:b/>
                <w:i w:val="0"/>
                <w:color w:val="000000"/>
                <w:kern w:val="0"/>
                <w:sz w:val="22"/>
                <w:szCs w:val="22"/>
                <w:u w:val="none"/>
                <w:lang w:val="en-US" w:eastAsia="zh-CN" w:bidi="ar"/>
              </w:rPr>
              <w:t xml:space="preserve">14157.06 </w:t>
            </w:r>
          </w:p>
        </w:tc>
        <w:tc>
          <w:tcPr>
            <w:tcW w:w="1487"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16"/>
                <w:szCs w:val="16"/>
                <w:highlight w:val="none"/>
              </w:rPr>
            </w:pPr>
            <w:r>
              <w:rPr>
                <w:rFonts w:hint="eastAsia" w:ascii="宋体" w:hAnsi="宋体" w:eastAsia="宋体" w:cs="宋体"/>
                <w:b/>
                <w:i w:val="0"/>
                <w:color w:val="000000"/>
                <w:kern w:val="0"/>
                <w:sz w:val="22"/>
                <w:szCs w:val="22"/>
                <w:u w:val="none"/>
                <w:lang w:val="en-US" w:eastAsia="zh-CN" w:bidi="ar"/>
              </w:rPr>
              <w:t xml:space="preserve">12925.00 </w:t>
            </w:r>
          </w:p>
        </w:tc>
        <w:tc>
          <w:tcPr>
            <w:tcW w:w="1636"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16"/>
                <w:szCs w:val="16"/>
                <w:highlight w:val="none"/>
              </w:rPr>
            </w:pPr>
            <w:r>
              <w:rPr>
                <w:rFonts w:hint="eastAsia" w:ascii="宋体" w:hAnsi="宋体" w:eastAsia="宋体" w:cs="宋体"/>
                <w:b/>
                <w:i w:val="0"/>
                <w:color w:val="000000"/>
                <w:kern w:val="0"/>
                <w:sz w:val="22"/>
                <w:szCs w:val="22"/>
                <w:u w:val="none"/>
                <w:lang w:val="en-US" w:eastAsia="zh-CN" w:bidi="ar"/>
              </w:rPr>
              <w:t xml:space="preserve">0.00 </w:t>
            </w:r>
          </w:p>
        </w:tc>
        <w:tc>
          <w:tcPr>
            <w:tcW w:w="1364"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16"/>
                <w:szCs w:val="16"/>
                <w:highlight w:val="none"/>
              </w:rPr>
            </w:pPr>
            <w:r>
              <w:rPr>
                <w:rFonts w:hint="eastAsia" w:ascii="宋体" w:hAnsi="宋体" w:eastAsia="宋体" w:cs="宋体"/>
                <w:b/>
                <w:i w:val="0"/>
                <w:color w:val="000000"/>
                <w:kern w:val="0"/>
                <w:sz w:val="22"/>
                <w:szCs w:val="22"/>
                <w:u w:val="none"/>
                <w:lang w:val="en-US" w:eastAsia="zh-CN" w:bidi="ar"/>
              </w:rPr>
              <w:t xml:space="preserve">0.00 </w:t>
            </w:r>
          </w:p>
        </w:tc>
      </w:tr>
      <w:tr>
        <w:tblPrEx>
          <w:tblLayout w:type="fixed"/>
          <w:tblCellMar>
            <w:top w:w="0" w:type="dxa"/>
            <w:left w:w="0" w:type="dxa"/>
            <w:bottom w:w="0" w:type="dxa"/>
            <w:right w:w="0" w:type="dxa"/>
          </w:tblCellMar>
        </w:tblPrEx>
        <w:trPr>
          <w:trHeight w:val="90" w:hRule="atLeast"/>
          <w:jc w:val="center"/>
        </w:trPr>
        <w:tc>
          <w:tcPr>
            <w:tcW w:w="395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ind w:firstLine="20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0"/>
                <w:szCs w:val="20"/>
                <w:u w:val="none"/>
                <w:lang w:val="en-US" w:eastAsia="zh-CN" w:bidi="ar"/>
              </w:rPr>
              <w:t>亨通集团有限公司</w:t>
            </w:r>
          </w:p>
        </w:tc>
        <w:tc>
          <w:tcPr>
            <w:tcW w:w="1130"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13240.95 </w:t>
            </w:r>
          </w:p>
        </w:tc>
        <w:tc>
          <w:tcPr>
            <w:tcW w:w="1487"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12925.00 </w:t>
            </w:r>
          </w:p>
        </w:tc>
        <w:tc>
          <w:tcPr>
            <w:tcW w:w="1636"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364"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r>
      <w:tr>
        <w:tblPrEx>
          <w:tblLayout w:type="fixed"/>
          <w:tblCellMar>
            <w:top w:w="0" w:type="dxa"/>
            <w:left w:w="0" w:type="dxa"/>
            <w:bottom w:w="0" w:type="dxa"/>
            <w:right w:w="0" w:type="dxa"/>
          </w:tblCellMar>
        </w:tblPrEx>
        <w:trPr>
          <w:trHeight w:val="305" w:hRule="atLeast"/>
          <w:jc w:val="center"/>
        </w:trPr>
        <w:tc>
          <w:tcPr>
            <w:tcW w:w="395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ind w:firstLine="20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0"/>
                <w:szCs w:val="20"/>
                <w:u w:val="none"/>
                <w:lang w:val="en-US" w:eastAsia="zh-CN" w:bidi="ar"/>
              </w:rPr>
              <w:t>江苏新恒通投资集团有限公司</w:t>
            </w:r>
          </w:p>
        </w:tc>
        <w:tc>
          <w:tcPr>
            <w:tcW w:w="1130"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916.11 </w:t>
            </w:r>
          </w:p>
        </w:tc>
        <w:tc>
          <w:tcPr>
            <w:tcW w:w="1487"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636"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364"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r>
      <w:tr>
        <w:tblPrEx>
          <w:tblLayout w:type="fixed"/>
          <w:tblCellMar>
            <w:top w:w="0" w:type="dxa"/>
            <w:left w:w="0" w:type="dxa"/>
            <w:bottom w:w="0" w:type="dxa"/>
            <w:right w:w="0" w:type="dxa"/>
          </w:tblCellMar>
        </w:tblPrEx>
        <w:trPr>
          <w:trHeight w:val="305" w:hRule="atLeast"/>
          <w:jc w:val="center"/>
        </w:trPr>
        <w:tc>
          <w:tcPr>
            <w:tcW w:w="395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0"/>
                <w:szCs w:val="20"/>
                <w:u w:val="none"/>
                <w:lang w:val="en-US" w:eastAsia="zh-CN" w:bidi="ar"/>
              </w:rPr>
              <w:t>本行的参控公司</w:t>
            </w:r>
          </w:p>
        </w:tc>
        <w:tc>
          <w:tcPr>
            <w:tcW w:w="1130"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16"/>
                <w:szCs w:val="16"/>
                <w:highlight w:val="none"/>
              </w:rPr>
            </w:pPr>
            <w:r>
              <w:rPr>
                <w:rFonts w:hint="eastAsia" w:ascii="宋体" w:hAnsi="宋体" w:eastAsia="宋体" w:cs="宋体"/>
                <w:b/>
                <w:i w:val="0"/>
                <w:color w:val="000000"/>
                <w:kern w:val="0"/>
                <w:sz w:val="22"/>
                <w:szCs w:val="22"/>
                <w:u w:val="none"/>
                <w:lang w:val="en-US" w:eastAsia="zh-CN" w:bidi="ar"/>
              </w:rPr>
              <w:t xml:space="preserve">0.00 </w:t>
            </w:r>
          </w:p>
        </w:tc>
        <w:tc>
          <w:tcPr>
            <w:tcW w:w="1487"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16"/>
                <w:szCs w:val="16"/>
                <w:highlight w:val="none"/>
              </w:rPr>
            </w:pPr>
            <w:r>
              <w:rPr>
                <w:rFonts w:hint="eastAsia" w:ascii="宋体" w:hAnsi="宋体" w:eastAsia="宋体" w:cs="宋体"/>
                <w:b/>
                <w:i w:val="0"/>
                <w:color w:val="000000"/>
                <w:kern w:val="0"/>
                <w:sz w:val="22"/>
                <w:szCs w:val="22"/>
                <w:u w:val="none"/>
                <w:lang w:val="en-US" w:eastAsia="zh-CN" w:bidi="ar"/>
              </w:rPr>
              <w:t xml:space="preserve">0.00 </w:t>
            </w:r>
          </w:p>
        </w:tc>
        <w:tc>
          <w:tcPr>
            <w:tcW w:w="1636"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16"/>
                <w:szCs w:val="16"/>
                <w:highlight w:val="none"/>
              </w:rPr>
            </w:pPr>
            <w:r>
              <w:rPr>
                <w:rFonts w:hint="eastAsia" w:ascii="宋体" w:hAnsi="宋体" w:eastAsia="宋体" w:cs="宋体"/>
                <w:b/>
                <w:i w:val="0"/>
                <w:color w:val="000000"/>
                <w:kern w:val="0"/>
                <w:sz w:val="22"/>
                <w:szCs w:val="22"/>
                <w:u w:val="none"/>
                <w:lang w:val="en-US" w:eastAsia="zh-CN" w:bidi="ar"/>
              </w:rPr>
              <w:t xml:space="preserve">0.00 </w:t>
            </w:r>
          </w:p>
        </w:tc>
        <w:tc>
          <w:tcPr>
            <w:tcW w:w="1364"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16"/>
                <w:szCs w:val="16"/>
                <w:highlight w:val="none"/>
              </w:rPr>
            </w:pPr>
            <w:r>
              <w:rPr>
                <w:rFonts w:hint="eastAsia" w:ascii="宋体" w:hAnsi="宋体" w:eastAsia="宋体" w:cs="宋体"/>
                <w:b/>
                <w:i w:val="0"/>
                <w:color w:val="000000"/>
                <w:kern w:val="0"/>
                <w:sz w:val="22"/>
                <w:szCs w:val="22"/>
                <w:u w:val="none"/>
                <w:lang w:val="en-US" w:eastAsia="zh-CN" w:bidi="ar"/>
              </w:rPr>
              <w:t xml:space="preserve">0.00 </w:t>
            </w:r>
          </w:p>
        </w:tc>
      </w:tr>
      <w:tr>
        <w:tblPrEx>
          <w:tblLayout w:type="fixed"/>
          <w:tblCellMar>
            <w:top w:w="0" w:type="dxa"/>
            <w:left w:w="0" w:type="dxa"/>
            <w:bottom w:w="0" w:type="dxa"/>
            <w:right w:w="0" w:type="dxa"/>
          </w:tblCellMar>
        </w:tblPrEx>
        <w:trPr>
          <w:trHeight w:val="305" w:hRule="atLeast"/>
          <w:jc w:val="center"/>
        </w:trPr>
        <w:tc>
          <w:tcPr>
            <w:tcW w:w="395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ind w:firstLine="20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0"/>
                <w:szCs w:val="20"/>
                <w:u w:val="none"/>
                <w:lang w:val="en-US" w:eastAsia="zh-CN" w:bidi="ar"/>
              </w:rPr>
              <w:t>江苏射阳农村商业银行股份有限公司</w:t>
            </w:r>
          </w:p>
        </w:tc>
        <w:tc>
          <w:tcPr>
            <w:tcW w:w="1130"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487"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636"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364"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r>
      <w:tr>
        <w:tblPrEx>
          <w:tblLayout w:type="fixed"/>
          <w:tblCellMar>
            <w:top w:w="0" w:type="dxa"/>
            <w:left w:w="0" w:type="dxa"/>
            <w:bottom w:w="0" w:type="dxa"/>
            <w:right w:w="0" w:type="dxa"/>
          </w:tblCellMar>
        </w:tblPrEx>
        <w:trPr>
          <w:trHeight w:val="305" w:hRule="atLeast"/>
          <w:jc w:val="center"/>
        </w:trPr>
        <w:tc>
          <w:tcPr>
            <w:tcW w:w="395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ind w:firstLine="20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0"/>
                <w:szCs w:val="20"/>
                <w:u w:val="none"/>
                <w:lang w:val="en-US" w:eastAsia="zh-CN" w:bidi="ar"/>
              </w:rPr>
              <w:t>江苏东台农村商业银行股份有限公司</w:t>
            </w:r>
          </w:p>
        </w:tc>
        <w:tc>
          <w:tcPr>
            <w:tcW w:w="1130"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487"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636"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364"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r>
      <w:tr>
        <w:tblPrEx>
          <w:tblLayout w:type="fixed"/>
          <w:tblCellMar>
            <w:top w:w="0" w:type="dxa"/>
            <w:left w:w="0" w:type="dxa"/>
            <w:bottom w:w="0" w:type="dxa"/>
            <w:right w:w="0" w:type="dxa"/>
          </w:tblCellMar>
        </w:tblPrEx>
        <w:trPr>
          <w:trHeight w:val="305" w:hRule="atLeast"/>
          <w:jc w:val="center"/>
        </w:trPr>
        <w:tc>
          <w:tcPr>
            <w:tcW w:w="395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0"/>
                <w:szCs w:val="20"/>
                <w:u w:val="none"/>
                <w:lang w:val="en-US" w:eastAsia="zh-CN" w:bidi="ar"/>
              </w:rPr>
              <w:t>本行的子公司</w:t>
            </w:r>
          </w:p>
        </w:tc>
        <w:tc>
          <w:tcPr>
            <w:tcW w:w="1130"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16"/>
                <w:szCs w:val="16"/>
                <w:highlight w:val="none"/>
              </w:rPr>
            </w:pPr>
            <w:r>
              <w:rPr>
                <w:rFonts w:hint="eastAsia" w:ascii="宋体" w:hAnsi="宋体" w:eastAsia="宋体" w:cs="宋体"/>
                <w:b/>
                <w:i w:val="0"/>
                <w:color w:val="000000"/>
                <w:kern w:val="0"/>
                <w:sz w:val="22"/>
                <w:szCs w:val="22"/>
                <w:u w:val="none"/>
                <w:lang w:val="en-US" w:eastAsia="zh-CN" w:bidi="ar"/>
              </w:rPr>
              <w:t xml:space="preserve">0.00 </w:t>
            </w:r>
          </w:p>
        </w:tc>
        <w:tc>
          <w:tcPr>
            <w:tcW w:w="1487"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16"/>
                <w:szCs w:val="16"/>
                <w:highlight w:val="none"/>
              </w:rPr>
            </w:pPr>
            <w:r>
              <w:rPr>
                <w:rFonts w:hint="eastAsia" w:ascii="宋体" w:hAnsi="宋体" w:eastAsia="宋体" w:cs="宋体"/>
                <w:b/>
                <w:i w:val="0"/>
                <w:color w:val="000000"/>
                <w:kern w:val="0"/>
                <w:sz w:val="22"/>
                <w:szCs w:val="22"/>
                <w:u w:val="none"/>
                <w:lang w:val="en-US" w:eastAsia="zh-CN" w:bidi="ar"/>
              </w:rPr>
              <w:t xml:space="preserve">0.00 </w:t>
            </w:r>
          </w:p>
        </w:tc>
        <w:tc>
          <w:tcPr>
            <w:tcW w:w="1636"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16"/>
                <w:szCs w:val="16"/>
                <w:highlight w:val="none"/>
              </w:rPr>
            </w:pPr>
            <w:r>
              <w:rPr>
                <w:rFonts w:hint="eastAsia" w:ascii="宋体" w:hAnsi="宋体" w:eastAsia="宋体" w:cs="宋体"/>
                <w:b/>
                <w:i w:val="0"/>
                <w:color w:val="000000"/>
                <w:kern w:val="0"/>
                <w:sz w:val="22"/>
                <w:szCs w:val="22"/>
                <w:u w:val="none"/>
                <w:lang w:val="en-US" w:eastAsia="zh-CN" w:bidi="ar"/>
              </w:rPr>
              <w:t xml:space="preserve">0.00 </w:t>
            </w:r>
          </w:p>
        </w:tc>
        <w:tc>
          <w:tcPr>
            <w:tcW w:w="1364"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16"/>
                <w:szCs w:val="16"/>
                <w:highlight w:val="none"/>
              </w:rPr>
            </w:pPr>
            <w:r>
              <w:rPr>
                <w:rFonts w:hint="eastAsia" w:ascii="宋体" w:hAnsi="宋体" w:eastAsia="宋体" w:cs="宋体"/>
                <w:b/>
                <w:i w:val="0"/>
                <w:color w:val="000000"/>
                <w:kern w:val="0"/>
                <w:sz w:val="22"/>
                <w:szCs w:val="22"/>
                <w:u w:val="none"/>
                <w:lang w:val="en-US" w:eastAsia="zh-CN" w:bidi="ar"/>
              </w:rPr>
              <w:t xml:space="preserve">0.00 </w:t>
            </w:r>
          </w:p>
        </w:tc>
      </w:tr>
      <w:tr>
        <w:tblPrEx>
          <w:tblLayout w:type="fixed"/>
          <w:tblCellMar>
            <w:top w:w="0" w:type="dxa"/>
            <w:left w:w="0" w:type="dxa"/>
            <w:bottom w:w="0" w:type="dxa"/>
            <w:right w:w="0" w:type="dxa"/>
          </w:tblCellMar>
        </w:tblPrEx>
        <w:trPr>
          <w:trHeight w:val="305" w:hRule="atLeast"/>
          <w:jc w:val="center"/>
        </w:trPr>
        <w:tc>
          <w:tcPr>
            <w:tcW w:w="395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ind w:firstLine="20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0"/>
                <w:szCs w:val="20"/>
                <w:u w:val="none"/>
                <w:lang w:val="en-US" w:eastAsia="zh-CN" w:bidi="ar"/>
              </w:rPr>
              <w:t>江苏靖江润丰村镇银行股份有限公司</w:t>
            </w:r>
          </w:p>
        </w:tc>
        <w:tc>
          <w:tcPr>
            <w:tcW w:w="1130"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487"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636"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364"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r>
      <w:tr>
        <w:tblPrEx>
          <w:tblLayout w:type="fixed"/>
          <w:tblCellMar>
            <w:top w:w="0" w:type="dxa"/>
            <w:left w:w="0" w:type="dxa"/>
            <w:bottom w:w="0" w:type="dxa"/>
            <w:right w:w="0" w:type="dxa"/>
          </w:tblCellMar>
        </w:tblPrEx>
        <w:trPr>
          <w:trHeight w:val="305" w:hRule="atLeast"/>
          <w:jc w:val="center"/>
        </w:trPr>
        <w:tc>
          <w:tcPr>
            <w:tcW w:w="395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ind w:firstLine="20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0"/>
                <w:szCs w:val="20"/>
                <w:u w:val="none"/>
                <w:lang w:val="en-US" w:eastAsia="zh-CN" w:bidi="ar"/>
              </w:rPr>
              <w:t>湖北嘉鱼吴江村镇银行股份有限公司</w:t>
            </w:r>
          </w:p>
        </w:tc>
        <w:tc>
          <w:tcPr>
            <w:tcW w:w="1130"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487"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636"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364"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r>
      <w:tr>
        <w:tblPrEx>
          <w:tblLayout w:type="fixed"/>
          <w:tblCellMar>
            <w:top w:w="0" w:type="dxa"/>
            <w:left w:w="0" w:type="dxa"/>
            <w:bottom w:w="0" w:type="dxa"/>
            <w:right w:w="0" w:type="dxa"/>
          </w:tblCellMar>
        </w:tblPrEx>
        <w:trPr>
          <w:trHeight w:val="305" w:hRule="atLeast"/>
          <w:jc w:val="center"/>
        </w:trPr>
        <w:tc>
          <w:tcPr>
            <w:tcW w:w="395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0"/>
                <w:szCs w:val="20"/>
                <w:u w:val="none"/>
                <w:lang w:val="en-US" w:eastAsia="zh-CN" w:bidi="ar"/>
              </w:rPr>
              <w:t>其他关联方企业</w:t>
            </w:r>
          </w:p>
        </w:tc>
        <w:tc>
          <w:tcPr>
            <w:tcW w:w="1130"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16"/>
                <w:szCs w:val="16"/>
                <w:highlight w:val="none"/>
              </w:rPr>
            </w:pPr>
            <w:r>
              <w:rPr>
                <w:rFonts w:hint="eastAsia" w:ascii="宋体" w:hAnsi="宋体" w:eastAsia="宋体" w:cs="宋体"/>
                <w:b/>
                <w:i w:val="0"/>
                <w:color w:val="000000"/>
                <w:kern w:val="0"/>
                <w:sz w:val="22"/>
                <w:szCs w:val="22"/>
                <w:u w:val="none"/>
                <w:lang w:val="en-US" w:eastAsia="zh-CN" w:bidi="ar"/>
              </w:rPr>
              <w:t xml:space="preserve">76931.02 </w:t>
            </w:r>
          </w:p>
        </w:tc>
        <w:tc>
          <w:tcPr>
            <w:tcW w:w="1487"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16"/>
                <w:szCs w:val="16"/>
                <w:highlight w:val="none"/>
              </w:rPr>
            </w:pPr>
            <w:r>
              <w:rPr>
                <w:rFonts w:hint="eastAsia" w:ascii="宋体" w:hAnsi="宋体" w:eastAsia="宋体" w:cs="宋体"/>
                <w:b/>
                <w:i w:val="0"/>
                <w:color w:val="000000"/>
                <w:kern w:val="0"/>
                <w:sz w:val="22"/>
                <w:szCs w:val="22"/>
                <w:u w:val="none"/>
                <w:lang w:val="en-US" w:eastAsia="zh-CN" w:bidi="ar"/>
              </w:rPr>
              <w:t xml:space="preserve">37753.57 </w:t>
            </w:r>
          </w:p>
        </w:tc>
        <w:tc>
          <w:tcPr>
            <w:tcW w:w="1636"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16"/>
                <w:szCs w:val="16"/>
                <w:highlight w:val="none"/>
              </w:rPr>
            </w:pPr>
            <w:r>
              <w:rPr>
                <w:rFonts w:hint="eastAsia" w:ascii="宋体" w:hAnsi="宋体" w:eastAsia="宋体" w:cs="宋体"/>
                <w:b/>
                <w:i w:val="0"/>
                <w:color w:val="000000"/>
                <w:kern w:val="0"/>
                <w:sz w:val="22"/>
                <w:szCs w:val="22"/>
                <w:u w:val="none"/>
                <w:lang w:val="en-US" w:eastAsia="zh-CN" w:bidi="ar"/>
              </w:rPr>
              <w:t xml:space="preserve">600.00 </w:t>
            </w:r>
          </w:p>
        </w:tc>
        <w:tc>
          <w:tcPr>
            <w:tcW w:w="1364"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16"/>
                <w:szCs w:val="16"/>
                <w:highlight w:val="none"/>
              </w:rPr>
            </w:pPr>
            <w:r>
              <w:rPr>
                <w:rFonts w:hint="eastAsia" w:ascii="宋体" w:hAnsi="宋体" w:eastAsia="宋体" w:cs="宋体"/>
                <w:b/>
                <w:i w:val="0"/>
                <w:color w:val="000000"/>
                <w:kern w:val="0"/>
                <w:sz w:val="22"/>
                <w:szCs w:val="22"/>
                <w:u w:val="none"/>
                <w:lang w:val="en-US" w:eastAsia="zh-CN" w:bidi="ar"/>
              </w:rPr>
              <w:t xml:space="preserve">26965.90 </w:t>
            </w:r>
          </w:p>
        </w:tc>
      </w:tr>
      <w:tr>
        <w:tblPrEx>
          <w:tblLayout w:type="fixed"/>
          <w:tblCellMar>
            <w:top w:w="0" w:type="dxa"/>
            <w:left w:w="0" w:type="dxa"/>
            <w:bottom w:w="0" w:type="dxa"/>
            <w:right w:w="0" w:type="dxa"/>
          </w:tblCellMar>
        </w:tblPrEx>
        <w:trPr>
          <w:trHeight w:val="305" w:hRule="atLeast"/>
          <w:jc w:val="center"/>
        </w:trPr>
        <w:tc>
          <w:tcPr>
            <w:tcW w:w="395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ascii="宋体" w:hAnsi="宋体" w:cs="宋体"/>
                <w:b/>
                <w:color w:val="000000"/>
                <w:kern w:val="0"/>
                <w:sz w:val="20"/>
                <w:szCs w:val="20"/>
                <w:highlight w:val="none"/>
                <w:lang w:bidi="ar"/>
              </w:rPr>
            </w:pPr>
            <w:r>
              <w:rPr>
                <w:rFonts w:hint="eastAsia" w:ascii="宋体" w:hAnsi="宋体" w:eastAsia="宋体" w:cs="宋体"/>
                <w:b/>
                <w:i w:val="0"/>
                <w:color w:val="000000"/>
                <w:kern w:val="0"/>
                <w:sz w:val="20"/>
                <w:szCs w:val="20"/>
                <w:u w:val="none"/>
                <w:lang w:val="en-US" w:eastAsia="zh-CN" w:bidi="ar"/>
              </w:rPr>
              <w:t>关联自然人总计</w:t>
            </w:r>
          </w:p>
        </w:tc>
        <w:tc>
          <w:tcPr>
            <w:tcW w:w="1130"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bCs/>
                <w:color w:val="000000"/>
                <w:kern w:val="0"/>
                <w:sz w:val="16"/>
                <w:szCs w:val="16"/>
                <w:highlight w:val="none"/>
                <w:lang w:bidi="ar"/>
              </w:rPr>
            </w:pPr>
            <w:r>
              <w:rPr>
                <w:rFonts w:hint="eastAsia" w:ascii="宋体" w:hAnsi="宋体" w:eastAsia="宋体" w:cs="宋体"/>
                <w:b/>
                <w:i w:val="0"/>
                <w:color w:val="000000"/>
                <w:kern w:val="0"/>
                <w:sz w:val="20"/>
                <w:szCs w:val="20"/>
                <w:u w:val="none"/>
                <w:lang w:val="en-US" w:eastAsia="zh-CN" w:bidi="ar"/>
              </w:rPr>
              <w:t>10300.18</w:t>
            </w:r>
          </w:p>
        </w:tc>
        <w:tc>
          <w:tcPr>
            <w:tcW w:w="1487"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jc w:val="both"/>
              <w:rPr>
                <w:rFonts w:ascii="宋体" w:hAnsi="宋体" w:cs="宋体"/>
                <w:b/>
                <w:bCs/>
                <w:color w:val="000000"/>
                <w:kern w:val="0"/>
                <w:sz w:val="16"/>
                <w:szCs w:val="16"/>
                <w:highlight w:val="none"/>
                <w:lang w:bidi="ar"/>
              </w:rPr>
            </w:pPr>
          </w:p>
        </w:tc>
        <w:tc>
          <w:tcPr>
            <w:tcW w:w="1636"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bCs/>
                <w:color w:val="000000"/>
                <w:kern w:val="0"/>
                <w:sz w:val="16"/>
                <w:szCs w:val="16"/>
                <w:highlight w:val="none"/>
                <w:lang w:bidi="ar"/>
              </w:rPr>
            </w:pPr>
            <w:r>
              <w:rPr>
                <w:rFonts w:hint="eastAsia" w:ascii="宋体" w:hAnsi="宋体" w:eastAsia="宋体" w:cs="宋体"/>
                <w:b/>
                <w:i w:val="0"/>
                <w:color w:val="000000"/>
                <w:kern w:val="0"/>
                <w:sz w:val="20"/>
                <w:szCs w:val="20"/>
                <w:u w:val="none"/>
                <w:lang w:val="en-US" w:eastAsia="zh-CN" w:bidi="ar"/>
              </w:rPr>
              <w:t>9381.46</w:t>
            </w:r>
          </w:p>
        </w:tc>
        <w:tc>
          <w:tcPr>
            <w:tcW w:w="1364"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bCs/>
                <w:color w:val="000000"/>
                <w:kern w:val="0"/>
                <w:sz w:val="16"/>
                <w:szCs w:val="16"/>
                <w:highlight w:val="none"/>
                <w:lang w:bidi="ar"/>
              </w:rPr>
            </w:pPr>
            <w:r>
              <w:rPr>
                <w:rFonts w:hint="eastAsia" w:ascii="宋体" w:hAnsi="宋体" w:eastAsia="宋体" w:cs="宋体"/>
                <w:b/>
                <w:i w:val="0"/>
                <w:color w:val="000000"/>
                <w:kern w:val="0"/>
                <w:sz w:val="20"/>
                <w:szCs w:val="20"/>
                <w:u w:val="none"/>
                <w:lang w:val="en-US" w:eastAsia="zh-CN" w:bidi="ar"/>
              </w:rPr>
              <w:t>6.99</w:t>
            </w:r>
          </w:p>
        </w:tc>
      </w:tr>
      <w:tr>
        <w:tblPrEx>
          <w:tblLayout w:type="fixed"/>
          <w:tblCellMar>
            <w:top w:w="0" w:type="dxa"/>
            <w:left w:w="0" w:type="dxa"/>
            <w:bottom w:w="0" w:type="dxa"/>
            <w:right w:w="0" w:type="dxa"/>
          </w:tblCellMar>
        </w:tblPrEx>
        <w:trPr>
          <w:trHeight w:val="324" w:hRule="atLeast"/>
          <w:jc w:val="center"/>
        </w:trPr>
        <w:tc>
          <w:tcPr>
            <w:tcW w:w="395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0"/>
                <w:szCs w:val="20"/>
                <w:u w:val="none"/>
                <w:lang w:val="en-US" w:eastAsia="zh-CN" w:bidi="ar"/>
              </w:rPr>
              <w:t>关联方合计</w:t>
            </w:r>
          </w:p>
        </w:tc>
        <w:tc>
          <w:tcPr>
            <w:tcW w:w="1130"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0"/>
                <w:szCs w:val="20"/>
                <w:u w:val="none"/>
                <w:lang w:val="en-US" w:eastAsia="zh-CN" w:bidi="ar"/>
              </w:rPr>
              <w:t xml:space="preserve">101388.27 </w:t>
            </w:r>
          </w:p>
        </w:tc>
        <w:tc>
          <w:tcPr>
            <w:tcW w:w="1487"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0"/>
                <w:szCs w:val="20"/>
                <w:u w:val="none"/>
                <w:lang w:val="en-US" w:eastAsia="zh-CN" w:bidi="ar"/>
              </w:rPr>
              <w:t xml:space="preserve">50678.57 </w:t>
            </w:r>
          </w:p>
        </w:tc>
        <w:tc>
          <w:tcPr>
            <w:tcW w:w="1636"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0"/>
                <w:szCs w:val="20"/>
                <w:u w:val="none"/>
                <w:lang w:val="en-US" w:eastAsia="zh-CN" w:bidi="ar"/>
              </w:rPr>
              <w:t xml:space="preserve">9981.46 </w:t>
            </w:r>
          </w:p>
        </w:tc>
        <w:tc>
          <w:tcPr>
            <w:tcW w:w="1364"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0"/>
                <w:szCs w:val="20"/>
                <w:u w:val="none"/>
                <w:lang w:val="en-US" w:eastAsia="zh-CN" w:bidi="ar"/>
              </w:rPr>
              <w:t xml:space="preserve">26972.89 </w:t>
            </w:r>
          </w:p>
        </w:tc>
      </w:tr>
    </w:tbl>
    <w:p>
      <w:pPr>
        <w:ind w:firstLine="440" w:firstLineChars="200"/>
        <w:rPr>
          <w:rFonts w:cs="KFWCQV+ËÎÌå" w:asciiTheme="minorEastAsia" w:hAnsiTheme="minorEastAsia" w:eastAsiaTheme="minorEastAsia"/>
          <w:i/>
          <w:iCs/>
          <w:sz w:val="22"/>
          <w:highlight w:val="none"/>
        </w:rPr>
      </w:pPr>
      <w:r>
        <w:rPr>
          <w:rFonts w:hint="eastAsia" w:cs="KFWCQV+ËÎÌå" w:asciiTheme="minorEastAsia" w:hAnsiTheme="minorEastAsia" w:eastAsiaTheme="minorEastAsia"/>
          <w:sz w:val="22"/>
          <w:highlight w:val="none"/>
        </w:rPr>
        <w:t>注：吸收存款总计包括活期存款、定期存款、单位结构性存款、保证金；其中保证金合计项包括、担保公司保证金、信用证保证金、远期结售汇保证金、银行承兑汇票保证金、保函保证金。</w:t>
      </w:r>
    </w:p>
    <w:p>
      <w:pPr>
        <w:ind w:firstLine="600" w:firstLineChars="200"/>
        <w:rPr>
          <w:rFonts w:hint="eastAsia" w:ascii="仿宋_GB2312" w:hAnsi="仿宋" w:eastAsia="仿宋_GB2312" w:cs="KFWCQV+ËÎÌå"/>
          <w:sz w:val="30"/>
          <w:szCs w:val="30"/>
          <w:highlight w:val="none"/>
        </w:rPr>
      </w:pPr>
      <w:r>
        <w:rPr>
          <w:rFonts w:hint="eastAsia" w:ascii="仿宋_GB2312" w:hAnsi="仿宋" w:eastAsia="仿宋_GB2312" w:cs="KFWCQV+ËÎÌå"/>
          <w:sz w:val="30"/>
          <w:szCs w:val="30"/>
          <w:highlight w:val="none"/>
        </w:rPr>
        <w:t>截至2024年</w:t>
      </w:r>
      <w:r>
        <w:rPr>
          <w:rFonts w:hint="eastAsia" w:ascii="仿宋_GB2312" w:hAnsi="仿宋" w:eastAsia="仿宋_GB2312" w:cs="KFWCQV+ËÎÌå"/>
          <w:sz w:val="30"/>
          <w:szCs w:val="30"/>
          <w:highlight w:val="none"/>
          <w:lang w:val="en-US" w:eastAsia="zh-CN"/>
        </w:rPr>
        <w:t>9</w:t>
      </w:r>
      <w:r>
        <w:rPr>
          <w:rFonts w:hint="eastAsia" w:ascii="仿宋_GB2312" w:hAnsi="仿宋" w:eastAsia="仿宋_GB2312" w:cs="KFWCQV+ËÎÌå"/>
          <w:sz w:val="30"/>
          <w:szCs w:val="30"/>
          <w:highlight w:val="none"/>
        </w:rPr>
        <w:t>月末，本行</w:t>
      </w:r>
      <w:r>
        <w:rPr>
          <w:rFonts w:hint="eastAsia" w:ascii="仿宋_GB2312" w:hAnsi="仿宋" w:eastAsia="仿宋_GB2312" w:cs="KFWCQV+ËÎÌå"/>
          <w:sz w:val="30"/>
          <w:szCs w:val="30"/>
          <w:highlight w:val="none"/>
          <w:lang w:eastAsia="zh-CN"/>
        </w:rPr>
        <w:t>关联法人定期存款与结构性存款</w:t>
      </w:r>
      <w:r>
        <w:rPr>
          <w:rFonts w:hint="eastAsia" w:ascii="仿宋_GB2312" w:hAnsi="仿宋" w:eastAsia="仿宋_GB2312" w:cs="KFWCQV+ËÎÌå"/>
          <w:color w:val="auto"/>
          <w:sz w:val="30"/>
          <w:szCs w:val="30"/>
          <w:highlight w:val="none"/>
          <w:lang w:eastAsia="zh-CN"/>
        </w:rPr>
        <w:t>余额合计</w:t>
      </w:r>
      <w:r>
        <w:rPr>
          <w:rFonts w:hint="eastAsia" w:ascii="仿宋_GB2312" w:hAnsi="仿宋" w:eastAsia="仿宋_GB2312" w:cs="KFWCQV+ËÎÌå"/>
          <w:color w:val="auto"/>
          <w:sz w:val="30"/>
          <w:szCs w:val="30"/>
          <w:highlight w:val="none"/>
          <w:lang w:val="en-US" w:eastAsia="zh-CN"/>
        </w:rPr>
        <w:t>27565.9</w:t>
      </w:r>
      <w:r>
        <w:rPr>
          <w:rFonts w:hint="eastAsia" w:ascii="仿宋_GB2312" w:hAnsi="仿宋" w:eastAsia="仿宋_GB2312" w:cs="KFWCQV+ËÎÌå"/>
          <w:color w:val="auto"/>
          <w:sz w:val="30"/>
          <w:szCs w:val="30"/>
          <w:highlight w:val="none"/>
          <w:lang w:eastAsia="zh-CN"/>
        </w:rPr>
        <w:t>万元，关联自然人定期存款与结构性存款余额合计</w:t>
      </w:r>
      <w:r>
        <w:rPr>
          <w:rFonts w:hint="eastAsia" w:ascii="仿宋_GB2312" w:hAnsi="仿宋" w:eastAsia="仿宋_GB2312" w:cs="KFWCQV+ËÎÌå"/>
          <w:color w:val="auto"/>
          <w:sz w:val="30"/>
          <w:szCs w:val="30"/>
          <w:highlight w:val="none"/>
          <w:lang w:val="en-US" w:eastAsia="zh-CN"/>
        </w:rPr>
        <w:t>9388.45万元，</w:t>
      </w:r>
      <w:r>
        <w:rPr>
          <w:rFonts w:hint="eastAsia" w:ascii="仿宋_GB2312" w:hAnsi="仿宋" w:eastAsia="仿宋_GB2312" w:cs="KFWCQV+ËÎÌå"/>
          <w:color w:val="auto"/>
          <w:sz w:val="30"/>
          <w:szCs w:val="30"/>
          <w:highlight w:val="none"/>
          <w:lang w:eastAsia="zh-CN"/>
        </w:rPr>
        <w:t>未超年度股东大会预计额度</w:t>
      </w:r>
      <w:r>
        <w:rPr>
          <w:rFonts w:hint="eastAsia" w:ascii="仿宋_GB2312" w:hAnsi="仿宋" w:eastAsia="仿宋_GB2312" w:cs="KFWCQV+ËÎÌå"/>
          <w:color w:val="auto"/>
          <w:sz w:val="30"/>
          <w:szCs w:val="30"/>
          <w:highlight w:val="none"/>
          <w:lang w:val="en-US" w:eastAsia="zh-CN"/>
        </w:rPr>
        <w:t>。</w:t>
      </w:r>
    </w:p>
    <w:p>
      <w:pPr>
        <w:ind w:firstLine="440" w:firstLineChars="200"/>
        <w:rPr>
          <w:rFonts w:cs="KFWCQV+ËÎÌå" w:asciiTheme="minorEastAsia" w:hAnsiTheme="minorEastAsia" w:eastAsiaTheme="minorEastAsia"/>
          <w:i/>
          <w:iCs/>
          <w:sz w:val="22"/>
          <w:highlight w:val="none"/>
        </w:rPr>
      </w:pPr>
    </w:p>
    <w:p>
      <w:pPr>
        <w:ind w:firstLine="562" w:firstLineChars="200"/>
        <w:rPr>
          <w:rFonts w:eastAsia="仿宋" w:cs="KFWCQV+ËÎÌå" w:asciiTheme="minorEastAsia" w:hAnsiTheme="minorEastAsia"/>
          <w:i/>
          <w:iCs/>
          <w:sz w:val="22"/>
          <w:highlight w:val="none"/>
        </w:rPr>
      </w:pPr>
      <w:r>
        <w:rPr>
          <w:rFonts w:hint="eastAsia" w:ascii="仿宋" w:hAnsi="仿宋" w:eastAsia="仿宋" w:cs="KFWCQV+ËÎÌå"/>
          <w:b/>
          <w:bCs/>
          <w:sz w:val="28"/>
          <w:szCs w:val="28"/>
          <w:highlight w:val="none"/>
        </w:rPr>
        <w:t>2、授信类关联交易</w:t>
      </w:r>
    </w:p>
    <w:p>
      <w:pPr>
        <w:jc w:val="right"/>
        <w:rPr>
          <w:rFonts w:hint="eastAsia" w:cs="KFWCQV+ËÎÌå" w:asciiTheme="minorEastAsia" w:hAnsiTheme="minorEastAsia" w:eastAsiaTheme="minorEastAsia"/>
          <w:sz w:val="22"/>
          <w:highlight w:val="none"/>
        </w:rPr>
      </w:pPr>
      <w:r>
        <w:rPr>
          <w:rFonts w:cs="KFWCQV+ËÎÌå" w:asciiTheme="minorEastAsia" w:hAnsiTheme="minorEastAsia" w:eastAsiaTheme="minorEastAsia"/>
          <w:sz w:val="22"/>
          <w:highlight w:val="none"/>
        </w:rPr>
        <w:t>单位</w:t>
      </w:r>
      <w:r>
        <w:rPr>
          <w:rFonts w:hint="eastAsia" w:cs="KFWCQV+ËÎÌå" w:asciiTheme="minorEastAsia" w:hAnsiTheme="minorEastAsia" w:eastAsiaTheme="minorEastAsia"/>
          <w:sz w:val="22"/>
          <w:highlight w:val="none"/>
        </w:rPr>
        <w:t xml:space="preserve">：万元 </w:t>
      </w:r>
    </w:p>
    <w:p>
      <w:pPr>
        <w:jc w:val="right"/>
        <w:rPr>
          <w:rFonts w:hint="eastAsia" w:cs="KFWCQV+ËÎÌå" w:asciiTheme="minorEastAsia" w:hAnsiTheme="minorEastAsia" w:eastAsiaTheme="minorEastAsia"/>
          <w:sz w:val="22"/>
          <w:highlight w:val="none"/>
        </w:rPr>
      </w:pPr>
    </w:p>
    <w:tbl>
      <w:tblPr>
        <w:tblStyle w:val="8"/>
        <w:tblW w:w="1012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117"/>
        <w:gridCol w:w="1141"/>
        <w:gridCol w:w="1141"/>
        <w:gridCol w:w="1018"/>
        <w:gridCol w:w="1017"/>
        <w:gridCol w:w="895"/>
        <w:gridCol w:w="774"/>
        <w:gridCol w:w="10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937" w:hRule="atLeast"/>
          <w:jc w:val="center"/>
        </w:trPr>
        <w:tc>
          <w:tcPr>
            <w:tcW w:w="3117" w:type="dxa"/>
            <w:shd w:val="clear" w:color="auto" w:fill="auto"/>
            <w:tcMar>
              <w:top w:w="15" w:type="dxa"/>
              <w:left w:w="15" w:type="dxa"/>
              <w:right w:w="15" w:type="dxa"/>
            </w:tcMar>
            <w:vAlign w:val="center"/>
          </w:tcPr>
          <w:p>
            <w:pPr>
              <w:keepNext w:val="0"/>
              <w:keepLines w:val="0"/>
              <w:widowControl/>
              <w:suppressLineNumbers w:val="0"/>
              <w:jc w:val="both"/>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u w:val="none"/>
                <w:lang w:val="en-US" w:eastAsia="zh-CN" w:bidi="ar"/>
              </w:rPr>
              <w:t>关联方类型</w:t>
            </w:r>
          </w:p>
        </w:tc>
        <w:tc>
          <w:tcPr>
            <w:tcW w:w="1141" w:type="dxa"/>
            <w:shd w:val="clear" w:color="auto" w:fill="D9D9D9"/>
            <w:tcMar>
              <w:top w:w="15" w:type="dxa"/>
              <w:left w:w="15" w:type="dxa"/>
              <w:right w:w="15" w:type="dxa"/>
            </w:tcMar>
            <w:vAlign w:val="center"/>
          </w:tcPr>
          <w:p>
            <w:pPr>
              <w:keepNext w:val="0"/>
              <w:keepLines w:val="0"/>
              <w:widowControl/>
              <w:suppressLineNumbers w:val="0"/>
              <w:jc w:val="center"/>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u w:val="none"/>
                <w:lang w:val="en-US" w:eastAsia="zh-CN" w:bidi="ar"/>
              </w:rPr>
              <w:t>9月末用信余额合计</w:t>
            </w:r>
          </w:p>
        </w:tc>
        <w:tc>
          <w:tcPr>
            <w:tcW w:w="1141"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u w:val="none"/>
                <w:lang w:val="en-US" w:eastAsia="zh-CN" w:bidi="ar"/>
              </w:rPr>
              <w:t>其中：贷款</w:t>
            </w:r>
          </w:p>
        </w:tc>
        <w:tc>
          <w:tcPr>
            <w:tcW w:w="1018"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u w:val="none"/>
                <w:lang w:val="en-US" w:eastAsia="zh-CN" w:bidi="ar"/>
              </w:rPr>
              <w:t>贴现</w:t>
            </w:r>
          </w:p>
        </w:tc>
        <w:tc>
          <w:tcPr>
            <w:tcW w:w="1017"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u w:val="none"/>
                <w:lang w:val="en-US" w:eastAsia="zh-CN" w:bidi="ar"/>
              </w:rPr>
              <w:t>银票敞口</w:t>
            </w:r>
          </w:p>
        </w:tc>
        <w:tc>
          <w:tcPr>
            <w:tcW w:w="89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u w:val="none"/>
                <w:lang w:val="en-US" w:eastAsia="zh-CN" w:bidi="ar"/>
              </w:rPr>
              <w:t>信用证敞口</w:t>
            </w:r>
          </w:p>
        </w:tc>
        <w:tc>
          <w:tcPr>
            <w:tcW w:w="774"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u w:val="none"/>
                <w:lang w:val="en-US" w:eastAsia="zh-CN" w:bidi="ar"/>
              </w:rPr>
              <w:t>商票保贴</w:t>
            </w:r>
          </w:p>
        </w:tc>
        <w:tc>
          <w:tcPr>
            <w:tcW w:w="1017"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u w:val="none"/>
                <w:lang w:val="en-US" w:eastAsia="zh-CN" w:bidi="ar"/>
              </w:rPr>
              <w:t>债券投资本金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57" w:hRule="atLeast"/>
          <w:jc w:val="center"/>
        </w:trPr>
        <w:tc>
          <w:tcPr>
            <w:tcW w:w="3117" w:type="dxa"/>
            <w:shd w:val="clear" w:color="auto" w:fill="auto"/>
            <w:tcMar>
              <w:top w:w="15" w:type="dxa"/>
              <w:left w:w="15" w:type="dxa"/>
              <w:right w:w="15" w:type="dxa"/>
            </w:tcMar>
            <w:vAlign w:val="center"/>
          </w:tcPr>
          <w:p>
            <w:pPr>
              <w:keepNext w:val="0"/>
              <w:keepLines w:val="0"/>
              <w:widowControl/>
              <w:suppressLineNumbers w:val="0"/>
              <w:jc w:val="both"/>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u w:val="none"/>
                <w:lang w:val="en-US" w:eastAsia="zh-CN" w:bidi="ar"/>
              </w:rPr>
              <w:t>持股5％以上股东</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u w:val="none"/>
                <w:lang w:val="en-US" w:eastAsia="zh-CN" w:bidi="ar"/>
              </w:rPr>
              <w:t xml:space="preserve">28975.00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u w:val="none"/>
                <w:lang w:val="en-US" w:eastAsia="zh-CN" w:bidi="ar"/>
              </w:rPr>
              <w:t xml:space="preserve">20200.00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u w:val="none"/>
                <w:lang w:val="en-US" w:eastAsia="zh-CN" w:bidi="ar"/>
              </w:rPr>
              <w:t xml:space="preserve">8775.00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57" w:hRule="atLeast"/>
          <w:jc w:val="center"/>
        </w:trPr>
        <w:tc>
          <w:tcPr>
            <w:tcW w:w="3117" w:type="dxa"/>
            <w:shd w:val="clear" w:color="auto" w:fill="auto"/>
            <w:tcMar>
              <w:top w:w="15" w:type="dxa"/>
              <w:left w:w="15" w:type="dxa"/>
              <w:right w:w="15" w:type="dxa"/>
            </w:tcMar>
            <w:vAlign w:val="center"/>
          </w:tcPr>
          <w:p>
            <w:pPr>
              <w:keepNext w:val="0"/>
              <w:keepLines w:val="0"/>
              <w:widowControl/>
              <w:suppressLineNumbers w:val="0"/>
              <w:ind w:firstLine="22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亨通集团有限公司</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28975.00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20200.00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8775.00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57" w:hRule="atLeast"/>
          <w:jc w:val="center"/>
        </w:trPr>
        <w:tc>
          <w:tcPr>
            <w:tcW w:w="3117" w:type="dxa"/>
            <w:shd w:val="clear" w:color="auto" w:fill="auto"/>
            <w:tcMar>
              <w:top w:w="15" w:type="dxa"/>
              <w:left w:w="15" w:type="dxa"/>
              <w:right w:w="15" w:type="dxa"/>
            </w:tcMar>
            <w:vAlign w:val="center"/>
          </w:tcPr>
          <w:p>
            <w:pPr>
              <w:keepNext w:val="0"/>
              <w:keepLines w:val="0"/>
              <w:widowControl/>
              <w:suppressLineNumbers w:val="0"/>
              <w:ind w:firstLine="22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江苏新恒通投资集团有限公司</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2" w:hRule="atLeast"/>
          <w:jc w:val="center"/>
        </w:trPr>
        <w:tc>
          <w:tcPr>
            <w:tcW w:w="3117" w:type="dxa"/>
            <w:shd w:val="clear" w:color="auto" w:fill="auto"/>
            <w:tcMar>
              <w:top w:w="15" w:type="dxa"/>
              <w:left w:w="15" w:type="dxa"/>
              <w:right w:w="15" w:type="dxa"/>
            </w:tcMar>
            <w:vAlign w:val="center"/>
          </w:tcPr>
          <w:p>
            <w:pPr>
              <w:keepNext w:val="0"/>
              <w:keepLines w:val="0"/>
              <w:widowControl/>
              <w:suppressLineNumbers w:val="0"/>
              <w:jc w:val="both"/>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u w:val="none"/>
                <w:lang w:val="en-US" w:eastAsia="zh-CN" w:bidi="ar"/>
              </w:rPr>
              <w:t>联营企业</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u w:val="none"/>
                <w:lang w:val="en-US" w:eastAsia="zh-CN" w:bidi="ar"/>
              </w:rPr>
              <w:t xml:space="preserve">0.00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u w:val="none"/>
                <w:lang w:val="en-US" w:eastAsia="zh-CN" w:bidi="ar"/>
              </w:rPr>
              <w:t xml:space="preserve">0.00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u w:val="none"/>
                <w:lang w:val="en-US" w:eastAsia="zh-CN" w:bidi="ar"/>
              </w:rPr>
              <w:t xml:space="preserve">0.00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57" w:hRule="atLeast"/>
          <w:jc w:val="center"/>
        </w:trPr>
        <w:tc>
          <w:tcPr>
            <w:tcW w:w="3117" w:type="dxa"/>
            <w:shd w:val="clear" w:color="auto" w:fill="auto"/>
            <w:tcMar>
              <w:top w:w="15" w:type="dxa"/>
              <w:left w:w="15" w:type="dxa"/>
              <w:right w:w="15" w:type="dxa"/>
            </w:tcMar>
            <w:vAlign w:val="center"/>
          </w:tcPr>
          <w:p>
            <w:pPr>
              <w:keepNext w:val="0"/>
              <w:keepLines w:val="0"/>
              <w:widowControl/>
              <w:suppressLineNumbers w:val="0"/>
              <w:ind w:firstLine="22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江苏射阳农村商业银行股份有限公司</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57" w:hRule="atLeast"/>
          <w:jc w:val="center"/>
        </w:trPr>
        <w:tc>
          <w:tcPr>
            <w:tcW w:w="3117" w:type="dxa"/>
            <w:shd w:val="clear" w:color="auto" w:fill="auto"/>
            <w:tcMar>
              <w:top w:w="15" w:type="dxa"/>
              <w:left w:w="15" w:type="dxa"/>
              <w:right w:w="15" w:type="dxa"/>
            </w:tcMar>
            <w:vAlign w:val="center"/>
          </w:tcPr>
          <w:p>
            <w:pPr>
              <w:keepNext w:val="0"/>
              <w:keepLines w:val="0"/>
              <w:widowControl/>
              <w:suppressLineNumbers w:val="0"/>
              <w:ind w:firstLine="22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江苏东台农村商业银行股份有限公司</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2" w:hRule="atLeast"/>
          <w:jc w:val="center"/>
        </w:trPr>
        <w:tc>
          <w:tcPr>
            <w:tcW w:w="3117" w:type="dxa"/>
            <w:shd w:val="clear" w:color="auto" w:fill="auto"/>
            <w:tcMar>
              <w:top w:w="15" w:type="dxa"/>
              <w:left w:w="15" w:type="dxa"/>
              <w:right w:w="15" w:type="dxa"/>
            </w:tcMar>
            <w:vAlign w:val="center"/>
          </w:tcPr>
          <w:p>
            <w:pPr>
              <w:keepNext w:val="0"/>
              <w:keepLines w:val="0"/>
              <w:widowControl/>
              <w:suppressLineNumbers w:val="0"/>
              <w:jc w:val="both"/>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u w:val="none"/>
                <w:lang w:val="en-US" w:eastAsia="zh-CN" w:bidi="ar"/>
              </w:rPr>
              <w:t>子公司</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u w:val="none"/>
                <w:lang w:val="en-US" w:eastAsia="zh-CN" w:bidi="ar"/>
              </w:rPr>
              <w:t xml:space="preserve">0.00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u w:val="none"/>
                <w:lang w:val="en-US" w:eastAsia="zh-CN" w:bidi="ar"/>
              </w:rPr>
              <w:t xml:space="preserve">0.00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u w:val="none"/>
                <w:lang w:val="en-US" w:eastAsia="zh-CN" w:bidi="ar"/>
              </w:rPr>
              <w:t xml:space="preserve">0.00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57" w:hRule="atLeast"/>
          <w:jc w:val="center"/>
        </w:trPr>
        <w:tc>
          <w:tcPr>
            <w:tcW w:w="3117" w:type="dxa"/>
            <w:shd w:val="clear" w:color="auto" w:fill="auto"/>
            <w:tcMar>
              <w:top w:w="15" w:type="dxa"/>
              <w:left w:w="15" w:type="dxa"/>
              <w:right w:w="15" w:type="dxa"/>
            </w:tcMar>
            <w:vAlign w:val="center"/>
          </w:tcPr>
          <w:p>
            <w:pPr>
              <w:keepNext w:val="0"/>
              <w:keepLines w:val="0"/>
              <w:widowControl/>
              <w:suppressLineNumbers w:val="0"/>
              <w:ind w:firstLine="22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江苏靖江润丰村镇银行股份有限公司</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57" w:hRule="atLeast"/>
          <w:jc w:val="center"/>
        </w:trPr>
        <w:tc>
          <w:tcPr>
            <w:tcW w:w="3117" w:type="dxa"/>
            <w:shd w:val="clear" w:color="auto" w:fill="auto"/>
            <w:tcMar>
              <w:top w:w="15" w:type="dxa"/>
              <w:left w:w="15" w:type="dxa"/>
              <w:right w:w="15" w:type="dxa"/>
            </w:tcMar>
            <w:vAlign w:val="center"/>
          </w:tcPr>
          <w:p>
            <w:pPr>
              <w:keepNext w:val="0"/>
              <w:keepLines w:val="0"/>
              <w:widowControl/>
              <w:suppressLineNumbers w:val="0"/>
              <w:ind w:firstLine="22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湖北嘉鱼吴江村镇银行股份有限公司</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57" w:hRule="atLeast"/>
          <w:jc w:val="center"/>
        </w:trPr>
        <w:tc>
          <w:tcPr>
            <w:tcW w:w="3117" w:type="dxa"/>
            <w:shd w:val="clear" w:color="auto" w:fill="auto"/>
            <w:tcMar>
              <w:top w:w="15" w:type="dxa"/>
              <w:left w:w="15" w:type="dxa"/>
              <w:right w:w="15" w:type="dxa"/>
            </w:tcMar>
            <w:vAlign w:val="center"/>
          </w:tcPr>
          <w:p>
            <w:pPr>
              <w:keepNext w:val="0"/>
              <w:keepLines w:val="0"/>
              <w:widowControl/>
              <w:suppressLineNumbers w:val="0"/>
              <w:jc w:val="both"/>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u w:val="none"/>
                <w:lang w:val="en-US" w:eastAsia="zh-CN" w:bidi="ar"/>
              </w:rPr>
              <w:t>其他关联企业</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95070.30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78123.00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656.44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13387.06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903.80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2000.00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57" w:hRule="atLeast"/>
          <w:jc w:val="center"/>
        </w:trPr>
        <w:tc>
          <w:tcPr>
            <w:tcW w:w="3117" w:type="dxa"/>
            <w:shd w:val="clear" w:color="auto" w:fill="auto"/>
            <w:tcMar>
              <w:top w:w="15" w:type="dxa"/>
              <w:left w:w="15" w:type="dxa"/>
              <w:right w:w="15" w:type="dxa"/>
            </w:tcMar>
            <w:vAlign w:val="center"/>
          </w:tcPr>
          <w:p>
            <w:pPr>
              <w:keepNext w:val="0"/>
              <w:keepLines w:val="0"/>
              <w:widowControl/>
              <w:suppressLineNumbers w:val="0"/>
              <w:ind w:firstLine="22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江苏张家港农村商业银行股份有限公司</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2000.00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2000.00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2" w:hRule="atLeast"/>
          <w:jc w:val="center"/>
        </w:trPr>
        <w:tc>
          <w:tcPr>
            <w:tcW w:w="3117" w:type="dxa"/>
            <w:shd w:val="clear" w:color="auto" w:fill="auto"/>
            <w:tcMar>
              <w:top w:w="15" w:type="dxa"/>
              <w:left w:w="15" w:type="dxa"/>
              <w:right w:w="15" w:type="dxa"/>
            </w:tcMar>
            <w:vAlign w:val="center"/>
          </w:tcPr>
          <w:p>
            <w:pPr>
              <w:keepNext w:val="0"/>
              <w:keepLines w:val="0"/>
              <w:widowControl/>
              <w:suppressLineNumbers w:val="0"/>
              <w:ind w:firstLine="22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吴江市双盈化纺实业有限公司</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1400.00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1400.00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57" w:hRule="atLeast"/>
          <w:jc w:val="center"/>
        </w:trPr>
        <w:tc>
          <w:tcPr>
            <w:tcW w:w="3117" w:type="dxa"/>
            <w:shd w:val="clear" w:color="auto" w:fill="auto"/>
            <w:tcMar>
              <w:top w:w="15" w:type="dxa"/>
              <w:left w:w="15" w:type="dxa"/>
              <w:right w:w="15" w:type="dxa"/>
            </w:tcMar>
            <w:vAlign w:val="center"/>
          </w:tcPr>
          <w:p>
            <w:pPr>
              <w:keepNext w:val="0"/>
              <w:keepLines w:val="0"/>
              <w:widowControl/>
              <w:suppressLineNumbers w:val="0"/>
              <w:ind w:firstLine="22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苏州翔楼新材料股份有限公司</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1200.00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1200.00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57" w:hRule="atLeast"/>
          <w:jc w:val="center"/>
        </w:trPr>
        <w:tc>
          <w:tcPr>
            <w:tcW w:w="3117" w:type="dxa"/>
            <w:shd w:val="clear" w:color="auto" w:fill="auto"/>
            <w:tcMar>
              <w:top w:w="15" w:type="dxa"/>
              <w:left w:w="15" w:type="dxa"/>
              <w:right w:w="15" w:type="dxa"/>
            </w:tcMar>
            <w:vAlign w:val="center"/>
          </w:tcPr>
          <w:p>
            <w:pPr>
              <w:keepNext w:val="0"/>
              <w:keepLines w:val="0"/>
              <w:widowControl/>
              <w:suppressLineNumbers w:val="0"/>
              <w:ind w:firstLine="22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吴江震泽镇沪江彩板钢构厂</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145.00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145.00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57" w:hRule="atLeast"/>
          <w:jc w:val="center"/>
        </w:trPr>
        <w:tc>
          <w:tcPr>
            <w:tcW w:w="3117" w:type="dxa"/>
            <w:shd w:val="clear" w:color="auto" w:fill="auto"/>
            <w:tcMar>
              <w:top w:w="15" w:type="dxa"/>
              <w:left w:w="15" w:type="dxa"/>
              <w:right w:w="15" w:type="dxa"/>
            </w:tcMar>
            <w:vAlign w:val="center"/>
          </w:tcPr>
          <w:p>
            <w:pPr>
              <w:keepNext w:val="0"/>
              <w:keepLines w:val="0"/>
              <w:widowControl/>
              <w:suppressLineNumbers w:val="0"/>
              <w:ind w:firstLine="22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吴江佳力高纤有限公司</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1577.00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100.00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1477.00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2" w:hRule="atLeast"/>
          <w:jc w:val="center"/>
        </w:trPr>
        <w:tc>
          <w:tcPr>
            <w:tcW w:w="3117" w:type="dxa"/>
            <w:shd w:val="clear" w:color="auto" w:fill="auto"/>
            <w:tcMar>
              <w:top w:w="15" w:type="dxa"/>
              <w:left w:w="15" w:type="dxa"/>
              <w:right w:w="15" w:type="dxa"/>
            </w:tcMar>
            <w:vAlign w:val="center"/>
          </w:tcPr>
          <w:p>
            <w:pPr>
              <w:keepNext w:val="0"/>
              <w:keepLines w:val="0"/>
              <w:widowControl/>
              <w:suppressLineNumbers w:val="0"/>
              <w:ind w:firstLine="22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江苏恒宇纺织集团有限公司</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15358.24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14498.00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656.44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203.80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57" w:hRule="atLeast"/>
          <w:jc w:val="center"/>
        </w:trPr>
        <w:tc>
          <w:tcPr>
            <w:tcW w:w="3117" w:type="dxa"/>
            <w:shd w:val="clear" w:color="auto" w:fill="auto"/>
            <w:tcMar>
              <w:top w:w="15" w:type="dxa"/>
              <w:left w:w="15" w:type="dxa"/>
              <w:right w:w="15" w:type="dxa"/>
            </w:tcMar>
            <w:vAlign w:val="center"/>
          </w:tcPr>
          <w:p>
            <w:pPr>
              <w:keepNext w:val="0"/>
              <w:keepLines w:val="0"/>
              <w:widowControl/>
              <w:suppressLineNumbers w:val="0"/>
              <w:ind w:firstLine="22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苏商融资租赁有限公司</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35000.00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35000.00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2" w:hRule="atLeast"/>
          <w:jc w:val="center"/>
        </w:trPr>
        <w:tc>
          <w:tcPr>
            <w:tcW w:w="3117" w:type="dxa"/>
            <w:shd w:val="clear" w:color="auto" w:fill="auto"/>
            <w:tcMar>
              <w:top w:w="15" w:type="dxa"/>
              <w:left w:w="15" w:type="dxa"/>
              <w:right w:w="15" w:type="dxa"/>
            </w:tcMar>
            <w:vAlign w:val="center"/>
          </w:tcPr>
          <w:p>
            <w:pPr>
              <w:keepNext w:val="0"/>
              <w:keepLines w:val="0"/>
              <w:widowControl/>
              <w:suppressLineNumbers w:val="0"/>
              <w:ind w:firstLine="22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亨通文旅发展有限公司</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700.00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700.00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57" w:hRule="atLeast"/>
          <w:jc w:val="center"/>
        </w:trPr>
        <w:tc>
          <w:tcPr>
            <w:tcW w:w="3117" w:type="dxa"/>
            <w:shd w:val="clear" w:color="auto" w:fill="auto"/>
            <w:tcMar>
              <w:top w:w="15" w:type="dxa"/>
              <w:left w:w="15" w:type="dxa"/>
              <w:right w:w="15" w:type="dxa"/>
            </w:tcMar>
            <w:vAlign w:val="center"/>
          </w:tcPr>
          <w:p>
            <w:pPr>
              <w:keepNext w:val="0"/>
              <w:keepLines w:val="0"/>
              <w:widowControl/>
              <w:suppressLineNumbers w:val="0"/>
              <w:ind w:firstLine="22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江苏亨芯石英科技有限公司</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15000.00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15000.00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57" w:hRule="atLeast"/>
          <w:jc w:val="center"/>
        </w:trPr>
        <w:tc>
          <w:tcPr>
            <w:tcW w:w="3117" w:type="dxa"/>
            <w:shd w:val="clear" w:color="auto" w:fill="auto"/>
            <w:tcMar>
              <w:top w:w="15" w:type="dxa"/>
              <w:left w:w="15" w:type="dxa"/>
              <w:right w:w="15" w:type="dxa"/>
            </w:tcMar>
            <w:vAlign w:val="center"/>
          </w:tcPr>
          <w:p>
            <w:pPr>
              <w:keepNext w:val="0"/>
              <w:keepLines w:val="0"/>
              <w:widowControl/>
              <w:suppressLineNumbers w:val="0"/>
              <w:ind w:firstLine="22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吴江飞乐恒通光纤光缆有限公司</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1000.00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1000.00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57" w:hRule="atLeast"/>
          <w:jc w:val="center"/>
        </w:trPr>
        <w:tc>
          <w:tcPr>
            <w:tcW w:w="3117" w:type="dxa"/>
            <w:shd w:val="clear" w:color="auto" w:fill="auto"/>
            <w:tcMar>
              <w:top w:w="15" w:type="dxa"/>
              <w:left w:w="15" w:type="dxa"/>
              <w:right w:w="15" w:type="dxa"/>
            </w:tcMar>
            <w:vAlign w:val="center"/>
          </w:tcPr>
          <w:p>
            <w:pPr>
              <w:keepNext w:val="0"/>
              <w:keepLines w:val="0"/>
              <w:widowControl/>
              <w:suppressLineNumbers w:val="0"/>
              <w:ind w:firstLine="22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吴江恒宇纺织染整有限公司</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4560.44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500.00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4060.44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57" w:hRule="atLeast"/>
          <w:jc w:val="center"/>
        </w:trPr>
        <w:tc>
          <w:tcPr>
            <w:tcW w:w="3117" w:type="dxa"/>
            <w:shd w:val="clear" w:color="auto" w:fill="auto"/>
            <w:tcMar>
              <w:top w:w="15" w:type="dxa"/>
              <w:left w:w="15" w:type="dxa"/>
              <w:right w:w="15" w:type="dxa"/>
            </w:tcMar>
            <w:vAlign w:val="center"/>
          </w:tcPr>
          <w:p>
            <w:pPr>
              <w:keepNext w:val="0"/>
              <w:keepLines w:val="0"/>
              <w:widowControl/>
              <w:suppressLineNumbers w:val="0"/>
              <w:ind w:firstLine="22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吴江恒宇纺织有限公司</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4230.00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3180.00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350.00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700.00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45" w:hRule="atLeast"/>
          <w:jc w:val="center"/>
        </w:trPr>
        <w:tc>
          <w:tcPr>
            <w:tcW w:w="3117" w:type="dxa"/>
            <w:shd w:val="clear" w:color="auto" w:fill="auto"/>
            <w:tcMar>
              <w:top w:w="15" w:type="dxa"/>
              <w:left w:w="15" w:type="dxa"/>
              <w:right w:w="15" w:type="dxa"/>
            </w:tcMar>
            <w:vAlign w:val="center"/>
          </w:tcPr>
          <w:p>
            <w:pPr>
              <w:keepNext w:val="0"/>
              <w:keepLines w:val="0"/>
              <w:widowControl/>
              <w:suppressLineNumbers w:val="0"/>
              <w:ind w:firstLine="22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苏州苏投贵金属文化发展有限公司</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4899.62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4899.62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38" w:hRule="atLeast"/>
          <w:jc w:val="center"/>
        </w:trPr>
        <w:tc>
          <w:tcPr>
            <w:tcW w:w="3117" w:type="dxa"/>
            <w:shd w:val="clear" w:color="auto" w:fill="auto"/>
            <w:tcMar>
              <w:top w:w="15" w:type="dxa"/>
              <w:left w:w="15" w:type="dxa"/>
              <w:right w:w="15" w:type="dxa"/>
            </w:tcMar>
            <w:vAlign w:val="center"/>
          </w:tcPr>
          <w:p>
            <w:pPr>
              <w:keepNext w:val="0"/>
              <w:keepLines w:val="0"/>
              <w:widowControl/>
              <w:suppressLineNumbers w:val="0"/>
              <w:ind w:firstLine="22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苏州东吴黄金进出口有限公司</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8000.00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8000.00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57" w:hRule="atLeast"/>
          <w:jc w:val="center"/>
        </w:trPr>
        <w:tc>
          <w:tcPr>
            <w:tcW w:w="3117" w:type="dxa"/>
            <w:shd w:val="clear" w:color="auto" w:fill="auto"/>
            <w:tcMar>
              <w:top w:w="15" w:type="dxa"/>
              <w:left w:w="15" w:type="dxa"/>
              <w:right w:w="15" w:type="dxa"/>
            </w:tcMar>
            <w:vAlign w:val="center"/>
          </w:tcPr>
          <w:p>
            <w:pPr>
              <w:keepNext w:val="0"/>
              <w:keepLines w:val="0"/>
              <w:widowControl/>
              <w:suppressLineNumbers w:val="0"/>
              <w:jc w:val="both"/>
              <w:textAlignment w:val="center"/>
              <w:rPr>
                <w:rFonts w:ascii="宋体" w:hAnsi="宋体" w:cs="宋体"/>
                <w:color w:val="000000"/>
                <w:sz w:val="20"/>
                <w:szCs w:val="20"/>
                <w:highlight w:val="none"/>
              </w:rPr>
            </w:pPr>
            <w:r>
              <w:rPr>
                <w:rFonts w:hint="eastAsia" w:ascii="宋体" w:hAnsi="宋体" w:eastAsia="宋体" w:cs="宋体"/>
                <w:b/>
                <w:i w:val="0"/>
                <w:color w:val="000000"/>
                <w:kern w:val="0"/>
                <w:sz w:val="22"/>
                <w:szCs w:val="22"/>
                <w:u w:val="none"/>
                <w:lang w:val="en-US" w:eastAsia="zh-CN" w:bidi="ar"/>
              </w:rPr>
              <w:t>关联企业用信总计</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124045.30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98323.00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656.44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22162.06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903.80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2000.00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57" w:hRule="atLeast"/>
          <w:jc w:val="center"/>
        </w:trPr>
        <w:tc>
          <w:tcPr>
            <w:tcW w:w="3117" w:type="dxa"/>
            <w:shd w:val="clear" w:color="auto" w:fill="auto"/>
            <w:tcMar>
              <w:top w:w="15" w:type="dxa"/>
              <w:left w:w="15" w:type="dxa"/>
              <w:right w:w="15" w:type="dxa"/>
            </w:tcMar>
            <w:vAlign w:val="center"/>
          </w:tcPr>
          <w:p>
            <w:pPr>
              <w:keepNext w:val="0"/>
              <w:keepLines w:val="0"/>
              <w:widowControl/>
              <w:suppressLineNumbers w:val="0"/>
              <w:jc w:val="both"/>
              <w:textAlignment w:val="center"/>
              <w:rPr>
                <w:rFonts w:ascii="宋体" w:hAnsi="宋体" w:cs="宋体"/>
                <w:color w:val="000000"/>
                <w:sz w:val="20"/>
                <w:szCs w:val="20"/>
                <w:highlight w:val="none"/>
              </w:rPr>
            </w:pPr>
            <w:r>
              <w:rPr>
                <w:rFonts w:hint="eastAsia" w:ascii="宋体" w:hAnsi="宋体" w:eastAsia="宋体" w:cs="宋体"/>
                <w:b/>
                <w:i w:val="0"/>
                <w:color w:val="000000"/>
                <w:kern w:val="0"/>
                <w:sz w:val="22"/>
                <w:szCs w:val="22"/>
                <w:u w:val="none"/>
                <w:lang w:val="en-US" w:eastAsia="zh-CN" w:bidi="ar"/>
              </w:rPr>
              <w:t>关联自然人用信总计（含贷记卡）</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b/>
                <w:i w:val="0"/>
                <w:color w:val="000000"/>
                <w:kern w:val="0"/>
                <w:sz w:val="22"/>
                <w:szCs w:val="22"/>
                <w:u w:val="none"/>
                <w:lang w:val="en-US" w:eastAsia="zh-CN" w:bidi="ar"/>
              </w:rPr>
              <w:t xml:space="preserve">651.40 </w:t>
            </w:r>
          </w:p>
        </w:tc>
        <w:tc>
          <w:tcPr>
            <w:tcW w:w="1141" w:type="dxa"/>
            <w:shd w:val="clear" w:color="auto" w:fill="auto"/>
            <w:tcMar>
              <w:top w:w="15" w:type="dxa"/>
              <w:left w:w="15" w:type="dxa"/>
              <w:right w:w="15" w:type="dxa"/>
            </w:tcMar>
            <w:vAlign w:val="center"/>
          </w:tcPr>
          <w:p>
            <w:pPr>
              <w:jc w:val="right"/>
              <w:rPr>
                <w:rFonts w:ascii="宋体" w:hAnsi="宋体" w:cs="宋体"/>
                <w:color w:val="000000"/>
                <w:sz w:val="16"/>
                <w:szCs w:val="16"/>
                <w:highlight w:val="none"/>
              </w:rPr>
            </w:pPr>
          </w:p>
        </w:tc>
        <w:tc>
          <w:tcPr>
            <w:tcW w:w="1018" w:type="dxa"/>
            <w:shd w:val="clear" w:color="auto" w:fill="auto"/>
            <w:tcMar>
              <w:top w:w="15" w:type="dxa"/>
              <w:left w:w="15" w:type="dxa"/>
              <w:right w:w="15" w:type="dxa"/>
            </w:tcMar>
            <w:vAlign w:val="center"/>
          </w:tcPr>
          <w:p>
            <w:pPr>
              <w:jc w:val="right"/>
              <w:rPr>
                <w:rFonts w:ascii="宋体" w:hAnsi="宋体" w:cs="宋体"/>
                <w:color w:val="000000"/>
                <w:sz w:val="16"/>
                <w:szCs w:val="16"/>
                <w:highlight w:val="none"/>
              </w:rPr>
            </w:pPr>
          </w:p>
        </w:tc>
        <w:tc>
          <w:tcPr>
            <w:tcW w:w="1017" w:type="dxa"/>
            <w:shd w:val="clear" w:color="auto" w:fill="auto"/>
            <w:tcMar>
              <w:top w:w="15" w:type="dxa"/>
              <w:left w:w="15" w:type="dxa"/>
              <w:right w:w="15" w:type="dxa"/>
            </w:tcMar>
            <w:vAlign w:val="center"/>
          </w:tcPr>
          <w:p>
            <w:pPr>
              <w:jc w:val="right"/>
              <w:rPr>
                <w:rFonts w:ascii="宋体" w:hAnsi="宋体" w:cs="宋体"/>
                <w:color w:val="000000"/>
                <w:sz w:val="16"/>
                <w:szCs w:val="16"/>
                <w:highlight w:val="none"/>
              </w:rPr>
            </w:pPr>
          </w:p>
        </w:tc>
        <w:tc>
          <w:tcPr>
            <w:tcW w:w="895" w:type="dxa"/>
            <w:shd w:val="clear" w:color="auto" w:fill="auto"/>
            <w:tcMar>
              <w:top w:w="15" w:type="dxa"/>
              <w:left w:w="15" w:type="dxa"/>
              <w:right w:w="15" w:type="dxa"/>
            </w:tcMar>
            <w:vAlign w:val="center"/>
          </w:tcPr>
          <w:p>
            <w:pPr>
              <w:jc w:val="right"/>
              <w:rPr>
                <w:rFonts w:ascii="宋体" w:hAnsi="宋体" w:cs="宋体"/>
                <w:color w:val="000000"/>
                <w:sz w:val="16"/>
                <w:szCs w:val="16"/>
                <w:highlight w:val="none"/>
              </w:rPr>
            </w:pPr>
          </w:p>
        </w:tc>
        <w:tc>
          <w:tcPr>
            <w:tcW w:w="774" w:type="dxa"/>
            <w:shd w:val="clear" w:color="auto" w:fill="auto"/>
            <w:tcMar>
              <w:top w:w="15" w:type="dxa"/>
              <w:left w:w="15" w:type="dxa"/>
              <w:right w:w="15" w:type="dxa"/>
            </w:tcMar>
            <w:vAlign w:val="center"/>
          </w:tcPr>
          <w:p>
            <w:pPr>
              <w:jc w:val="right"/>
              <w:rPr>
                <w:rFonts w:ascii="宋体" w:hAnsi="宋体" w:cs="宋体"/>
                <w:color w:val="000000"/>
                <w:sz w:val="16"/>
                <w:szCs w:val="16"/>
                <w:highlight w:val="none"/>
              </w:rPr>
            </w:pPr>
          </w:p>
        </w:tc>
        <w:tc>
          <w:tcPr>
            <w:tcW w:w="1017" w:type="dxa"/>
            <w:shd w:val="clear" w:color="auto" w:fill="auto"/>
            <w:tcMar>
              <w:top w:w="15" w:type="dxa"/>
              <w:left w:w="15" w:type="dxa"/>
              <w:right w:w="15" w:type="dxa"/>
            </w:tcMar>
            <w:vAlign w:val="center"/>
          </w:tcPr>
          <w:p>
            <w:pPr>
              <w:jc w:val="right"/>
              <w:rPr>
                <w:rFonts w:ascii="宋体" w:hAnsi="宋体" w:cs="宋体"/>
                <w:color w:val="000000"/>
                <w:sz w:val="16"/>
                <w:szCs w:val="16"/>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57" w:hRule="atLeast"/>
          <w:jc w:val="center"/>
        </w:trPr>
        <w:tc>
          <w:tcPr>
            <w:tcW w:w="3117" w:type="dxa"/>
            <w:shd w:val="clear" w:color="auto" w:fill="auto"/>
            <w:tcMar>
              <w:top w:w="15" w:type="dxa"/>
              <w:left w:w="15" w:type="dxa"/>
              <w:right w:w="15" w:type="dxa"/>
            </w:tcMar>
            <w:vAlign w:val="center"/>
          </w:tcPr>
          <w:p>
            <w:pPr>
              <w:keepNext w:val="0"/>
              <w:keepLines w:val="0"/>
              <w:widowControl/>
              <w:suppressLineNumbers w:val="0"/>
              <w:jc w:val="both"/>
              <w:textAlignment w:val="center"/>
              <w:rPr>
                <w:rFonts w:ascii="宋体" w:hAnsi="宋体" w:cs="宋体"/>
                <w:color w:val="000000"/>
                <w:sz w:val="20"/>
                <w:szCs w:val="20"/>
                <w:highlight w:val="none"/>
              </w:rPr>
            </w:pPr>
            <w:r>
              <w:rPr>
                <w:rFonts w:hint="eastAsia" w:ascii="宋体" w:hAnsi="宋体" w:eastAsia="宋体" w:cs="宋体"/>
                <w:b/>
                <w:i w:val="0"/>
                <w:color w:val="000000"/>
                <w:kern w:val="0"/>
                <w:sz w:val="22"/>
                <w:szCs w:val="22"/>
                <w:u w:val="none"/>
                <w:lang w:val="en-US" w:eastAsia="zh-CN" w:bidi="ar"/>
              </w:rPr>
              <w:t>全部关联方用信合计</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b/>
                <w:i w:val="0"/>
                <w:color w:val="000000"/>
                <w:kern w:val="0"/>
                <w:sz w:val="22"/>
                <w:szCs w:val="22"/>
                <w:u w:val="none"/>
                <w:lang w:val="en-US" w:eastAsia="zh-CN" w:bidi="ar"/>
              </w:rPr>
              <w:t xml:space="preserve">124696.70 </w:t>
            </w:r>
          </w:p>
        </w:tc>
        <w:tc>
          <w:tcPr>
            <w:tcW w:w="1141" w:type="dxa"/>
            <w:shd w:val="clear" w:color="auto" w:fill="auto"/>
            <w:tcMar>
              <w:top w:w="15" w:type="dxa"/>
              <w:left w:w="15" w:type="dxa"/>
              <w:right w:w="15" w:type="dxa"/>
            </w:tcMar>
            <w:vAlign w:val="center"/>
          </w:tcPr>
          <w:p>
            <w:pPr>
              <w:rPr>
                <w:rFonts w:ascii="宋体" w:hAnsi="宋体" w:cs="宋体"/>
                <w:color w:val="000000"/>
                <w:sz w:val="16"/>
                <w:szCs w:val="16"/>
                <w:highlight w:val="none"/>
              </w:rPr>
            </w:pPr>
          </w:p>
        </w:tc>
        <w:tc>
          <w:tcPr>
            <w:tcW w:w="1018" w:type="dxa"/>
            <w:shd w:val="clear" w:color="auto" w:fill="auto"/>
            <w:tcMar>
              <w:top w:w="15" w:type="dxa"/>
              <w:left w:w="15" w:type="dxa"/>
              <w:right w:w="15" w:type="dxa"/>
            </w:tcMar>
            <w:vAlign w:val="center"/>
          </w:tcPr>
          <w:p>
            <w:pPr>
              <w:rPr>
                <w:rFonts w:ascii="宋体" w:hAnsi="宋体" w:cs="宋体"/>
                <w:color w:val="000000"/>
                <w:sz w:val="16"/>
                <w:szCs w:val="16"/>
                <w:highlight w:val="none"/>
              </w:rPr>
            </w:pPr>
          </w:p>
        </w:tc>
        <w:tc>
          <w:tcPr>
            <w:tcW w:w="1017" w:type="dxa"/>
            <w:shd w:val="clear" w:color="auto" w:fill="auto"/>
            <w:tcMar>
              <w:top w:w="15" w:type="dxa"/>
              <w:left w:w="15" w:type="dxa"/>
              <w:right w:w="15" w:type="dxa"/>
            </w:tcMar>
            <w:vAlign w:val="center"/>
          </w:tcPr>
          <w:p>
            <w:pPr>
              <w:rPr>
                <w:rFonts w:ascii="宋体" w:hAnsi="宋体" w:cs="宋体"/>
                <w:color w:val="000000"/>
                <w:sz w:val="16"/>
                <w:szCs w:val="16"/>
                <w:highlight w:val="none"/>
              </w:rPr>
            </w:pPr>
          </w:p>
        </w:tc>
        <w:tc>
          <w:tcPr>
            <w:tcW w:w="895" w:type="dxa"/>
            <w:shd w:val="clear" w:color="auto" w:fill="auto"/>
            <w:tcMar>
              <w:top w:w="15" w:type="dxa"/>
              <w:left w:w="15" w:type="dxa"/>
              <w:right w:w="15" w:type="dxa"/>
            </w:tcMar>
            <w:vAlign w:val="center"/>
          </w:tcPr>
          <w:p>
            <w:pPr>
              <w:rPr>
                <w:rFonts w:ascii="宋体" w:hAnsi="宋体" w:cs="宋体"/>
                <w:color w:val="000000"/>
                <w:sz w:val="16"/>
                <w:szCs w:val="16"/>
                <w:highlight w:val="none"/>
              </w:rPr>
            </w:pPr>
          </w:p>
        </w:tc>
        <w:tc>
          <w:tcPr>
            <w:tcW w:w="774" w:type="dxa"/>
            <w:shd w:val="clear" w:color="auto" w:fill="auto"/>
            <w:tcMar>
              <w:top w:w="15" w:type="dxa"/>
              <w:left w:w="15" w:type="dxa"/>
              <w:right w:w="15" w:type="dxa"/>
            </w:tcMar>
            <w:vAlign w:val="center"/>
          </w:tcPr>
          <w:p>
            <w:pPr>
              <w:rPr>
                <w:rFonts w:ascii="宋体" w:hAnsi="宋体" w:cs="宋体"/>
                <w:color w:val="000000"/>
                <w:sz w:val="16"/>
                <w:szCs w:val="16"/>
                <w:highlight w:val="none"/>
              </w:rPr>
            </w:pPr>
          </w:p>
        </w:tc>
        <w:tc>
          <w:tcPr>
            <w:tcW w:w="1017" w:type="dxa"/>
            <w:shd w:val="clear" w:color="auto" w:fill="auto"/>
            <w:tcMar>
              <w:top w:w="15" w:type="dxa"/>
              <w:left w:w="15" w:type="dxa"/>
              <w:right w:w="15" w:type="dxa"/>
            </w:tcMar>
            <w:vAlign w:val="center"/>
          </w:tcPr>
          <w:p>
            <w:pPr>
              <w:rPr>
                <w:rFonts w:ascii="宋体" w:hAnsi="宋体" w:cs="宋体"/>
                <w:color w:val="000000"/>
                <w:sz w:val="16"/>
                <w:szCs w:val="16"/>
                <w:highlight w:val="none"/>
              </w:rPr>
            </w:pPr>
          </w:p>
        </w:tc>
      </w:tr>
    </w:tbl>
    <w:p>
      <w:pPr>
        <w:wordWrap w:val="0"/>
        <w:jc w:val="right"/>
        <w:rPr>
          <w:rFonts w:cs="KFWCQV+ËÎÌå" w:asciiTheme="minorEastAsia" w:hAnsiTheme="minorEastAsia" w:eastAsiaTheme="minorEastAsia"/>
          <w:sz w:val="22"/>
          <w:highlight w:val="none"/>
        </w:rPr>
      </w:pPr>
      <w:r>
        <w:rPr>
          <w:rFonts w:cs="KFWCQV+ËÎÌå" w:asciiTheme="minorEastAsia" w:hAnsiTheme="minorEastAsia" w:eastAsiaTheme="minorEastAsia"/>
          <w:sz w:val="22"/>
          <w:highlight w:val="none"/>
        </w:rPr>
        <w:t xml:space="preserve">    </w:t>
      </w:r>
    </w:p>
    <w:p>
      <w:pPr>
        <w:numPr>
          <w:ilvl w:val="0"/>
          <w:numId w:val="1"/>
        </w:numPr>
        <w:ind w:firstLine="440" w:firstLineChars="200"/>
        <w:rPr>
          <w:rFonts w:hint="eastAsia" w:cs="KFWCQV+ËÎÌå" w:asciiTheme="minorEastAsia" w:hAnsiTheme="minorEastAsia" w:eastAsiaTheme="minorEastAsia"/>
          <w:sz w:val="22"/>
          <w:highlight w:val="none"/>
        </w:rPr>
      </w:pPr>
      <w:r>
        <w:rPr>
          <w:rFonts w:cs="KFWCQV+ËÎÌå" w:asciiTheme="minorEastAsia" w:hAnsiTheme="minorEastAsia" w:eastAsiaTheme="minorEastAsia"/>
          <w:sz w:val="22"/>
          <w:highlight w:val="none"/>
        </w:rPr>
        <w:t>用信为本行实质承担的信用风险</w:t>
      </w:r>
      <w:r>
        <w:rPr>
          <w:rFonts w:hint="eastAsia" w:cs="KFWCQV+ËÎÌå" w:asciiTheme="minorEastAsia" w:hAnsiTheme="minorEastAsia" w:eastAsiaTheme="minorEastAsia"/>
          <w:sz w:val="22"/>
          <w:highlight w:val="none"/>
        </w:rPr>
        <w:t>，具体包括：贷款、贴现、承兑汇票敞口、信用证敞口、保函敞口、</w:t>
      </w:r>
      <w:r>
        <w:rPr>
          <w:rFonts w:hint="eastAsia" w:cs="KFWCQV+ËÎÌå" w:asciiTheme="minorEastAsia" w:hAnsiTheme="minorEastAsia" w:eastAsiaTheme="minorEastAsia"/>
          <w:sz w:val="22"/>
          <w:highlight w:val="none"/>
          <w:lang w:eastAsia="zh-CN"/>
        </w:rPr>
        <w:t>商票保贴、</w:t>
      </w:r>
      <w:r>
        <w:rPr>
          <w:rFonts w:hint="eastAsia" w:cs="KFWCQV+ËÎÌå" w:asciiTheme="minorEastAsia" w:hAnsiTheme="minorEastAsia" w:eastAsiaTheme="minorEastAsia"/>
          <w:sz w:val="22"/>
          <w:highlight w:val="none"/>
        </w:rPr>
        <w:t>债券、债权融资计划</w:t>
      </w:r>
      <w:r>
        <w:rPr>
          <w:rFonts w:hint="eastAsia" w:cs="KFWCQV+ËÎÌå" w:asciiTheme="minorEastAsia" w:hAnsiTheme="minorEastAsia" w:eastAsiaTheme="minorEastAsia"/>
          <w:sz w:val="22"/>
          <w:highlight w:val="none"/>
          <w:lang w:eastAsia="zh-CN"/>
        </w:rPr>
        <w:t>、本行结构性存款质押业务</w:t>
      </w:r>
      <w:r>
        <w:rPr>
          <w:rFonts w:hint="eastAsia" w:cs="KFWCQV+ËÎÌå" w:asciiTheme="minorEastAsia" w:hAnsiTheme="minorEastAsia" w:eastAsiaTheme="minorEastAsia"/>
          <w:sz w:val="22"/>
          <w:highlight w:val="none"/>
        </w:rPr>
        <w:t>等。</w:t>
      </w:r>
    </w:p>
    <w:p>
      <w:pPr>
        <w:ind w:firstLine="600" w:firstLineChars="200"/>
        <w:rPr>
          <w:rFonts w:hint="eastAsia" w:ascii="仿宋_GB2312" w:hAnsi="仿宋" w:eastAsia="仿宋_GB2312" w:cs="KFWCQV+ËÎÌå"/>
          <w:sz w:val="30"/>
          <w:szCs w:val="30"/>
          <w:highlight w:val="none"/>
        </w:rPr>
      </w:pPr>
      <w:r>
        <w:rPr>
          <w:rFonts w:hint="eastAsia" w:ascii="仿宋_GB2312" w:hAnsi="仿宋" w:eastAsia="仿宋_GB2312" w:cs="KFWCQV+ËÎÌå"/>
          <w:sz w:val="30"/>
          <w:szCs w:val="30"/>
          <w:highlight w:val="none"/>
        </w:rPr>
        <w:t>截至2024年9月末，本行单个关联方用信余额最高为苏商融资租赁有限公司35000万元，占上季末资本净额的1.87%。本公司对单个关联方所在集团（亨通集团）用信余额最高为79675万元，占上季末资本净额的4.25；本公司对所有关联方用信余额为124696.7万元，占上季末资本净额的6.65%。额度均在监管要求范围内。</w:t>
      </w:r>
    </w:p>
    <w:p>
      <w:pPr>
        <w:ind w:firstLine="602" w:firstLineChars="200"/>
        <w:rPr>
          <w:rFonts w:hint="eastAsia" w:ascii="仿宋_GB2312" w:hAnsi="仿宋" w:eastAsia="仿宋_GB2312" w:cs="KFWCQV+ËÎÌå"/>
          <w:b/>
          <w:bCs/>
          <w:sz w:val="30"/>
          <w:szCs w:val="30"/>
          <w:highlight w:val="none"/>
        </w:rPr>
      </w:pPr>
      <w:r>
        <w:rPr>
          <w:rFonts w:hint="eastAsia" w:ascii="仿宋_GB2312" w:hAnsi="仿宋" w:eastAsia="仿宋_GB2312" w:cs="KFWCQV+ËÎÌå"/>
          <w:b/>
          <w:bCs/>
          <w:sz w:val="30"/>
          <w:szCs w:val="30"/>
          <w:highlight w:val="none"/>
        </w:rPr>
        <w:t>3、资产转移类关联交易</w:t>
      </w:r>
    </w:p>
    <w:p>
      <w:pPr>
        <w:ind w:firstLine="420" w:firstLineChars="140"/>
        <w:rPr>
          <w:rFonts w:ascii="仿宋_GB2312" w:hAnsi="仿宋" w:eastAsia="仿宋_GB2312" w:cs="KFWCQV+ËÎÌå"/>
          <w:sz w:val="30"/>
          <w:szCs w:val="30"/>
          <w:highlight w:val="none"/>
        </w:rPr>
      </w:pPr>
      <w:r>
        <w:rPr>
          <w:rFonts w:hint="eastAsia" w:ascii="仿宋_GB2312" w:hAnsi="仿宋" w:eastAsia="仿宋_GB2312" w:cs="KFWCQV+ËÎÌå"/>
          <w:sz w:val="30"/>
          <w:szCs w:val="30"/>
          <w:highlight w:val="none"/>
        </w:rPr>
        <w:t>报告期内未发生资产转移类关联交易。</w:t>
      </w:r>
    </w:p>
    <w:p>
      <w:pPr>
        <w:ind w:firstLine="562" w:firstLineChars="200"/>
        <w:rPr>
          <w:rFonts w:ascii="仿宋" w:hAnsi="仿宋" w:eastAsia="仿宋" w:cs="KFWCQV+ËÎÌå"/>
          <w:b/>
          <w:bCs/>
          <w:sz w:val="28"/>
          <w:szCs w:val="28"/>
          <w:highlight w:val="none"/>
        </w:rPr>
      </w:pPr>
      <w:r>
        <w:rPr>
          <w:rFonts w:hint="eastAsia" w:ascii="仿宋" w:hAnsi="仿宋" w:eastAsia="仿宋" w:cs="KFWCQV+ËÎÌå"/>
          <w:b/>
          <w:bCs/>
          <w:sz w:val="28"/>
          <w:szCs w:val="28"/>
          <w:highlight w:val="none"/>
        </w:rPr>
        <w:t>4、服务类关联交易</w:t>
      </w:r>
    </w:p>
    <w:p>
      <w:pPr>
        <w:ind w:firstLine="600" w:firstLineChars="200"/>
        <w:rPr>
          <w:rFonts w:hint="eastAsia" w:ascii="仿宋_GB2312" w:hAnsi="仿宋" w:eastAsia="仿宋_GB2312" w:cs="KFWCQV+ËÎÌå"/>
          <w:sz w:val="30"/>
          <w:szCs w:val="30"/>
          <w:highlight w:val="none"/>
          <w:lang w:eastAsia="zh-CN"/>
        </w:rPr>
      </w:pPr>
      <w:r>
        <w:rPr>
          <w:rFonts w:hint="eastAsia" w:ascii="仿宋_GB2312" w:hAnsi="仿宋" w:eastAsia="仿宋_GB2312" w:cs="KFWCQV+ËÎÌå"/>
          <w:sz w:val="30"/>
          <w:szCs w:val="30"/>
          <w:highlight w:val="none"/>
        </w:rPr>
        <w:t>本行与苏州苏投贵金属文化发展有限公司签订代理销售协议，202</w:t>
      </w:r>
      <w:r>
        <w:rPr>
          <w:rFonts w:hint="eastAsia" w:ascii="仿宋_GB2312" w:hAnsi="仿宋" w:eastAsia="仿宋_GB2312" w:cs="KFWCQV+ËÎÌå"/>
          <w:sz w:val="30"/>
          <w:szCs w:val="30"/>
          <w:highlight w:val="none"/>
          <w:lang w:val="en-US" w:eastAsia="zh-CN"/>
        </w:rPr>
        <w:t>4</w:t>
      </w:r>
      <w:r>
        <w:rPr>
          <w:rFonts w:hint="eastAsia" w:ascii="仿宋_GB2312" w:hAnsi="仿宋" w:eastAsia="仿宋_GB2312" w:cs="KFWCQV+ËÎÌå"/>
          <w:sz w:val="30"/>
          <w:szCs w:val="30"/>
          <w:highlight w:val="none"/>
        </w:rPr>
        <w:t>年</w:t>
      </w:r>
      <w:r>
        <w:rPr>
          <w:rFonts w:hint="eastAsia" w:ascii="仿宋_GB2312" w:hAnsi="仿宋" w:eastAsia="仿宋_GB2312" w:cs="KFWCQV+ËÎÌå"/>
          <w:sz w:val="30"/>
          <w:szCs w:val="30"/>
          <w:highlight w:val="none"/>
          <w:lang w:eastAsia="zh-CN"/>
        </w:rPr>
        <w:t>三季度</w:t>
      </w:r>
      <w:r>
        <w:rPr>
          <w:rFonts w:hint="eastAsia" w:ascii="仿宋_GB2312" w:hAnsi="仿宋" w:eastAsia="仿宋_GB2312" w:cs="KFWCQV+ËÎÌå"/>
          <w:sz w:val="30"/>
          <w:szCs w:val="30"/>
          <w:highlight w:val="none"/>
        </w:rPr>
        <w:t>本行累计收取手续费</w:t>
      </w:r>
      <w:r>
        <w:rPr>
          <w:rFonts w:hint="eastAsia" w:ascii="仿宋_GB2312" w:hAnsi="仿宋" w:eastAsia="仿宋_GB2312" w:cs="KFWCQV+ËÎÌå"/>
          <w:sz w:val="30"/>
          <w:szCs w:val="30"/>
          <w:highlight w:val="none"/>
          <w:lang w:val="en-US" w:eastAsia="zh-CN"/>
        </w:rPr>
        <w:t>1.59</w:t>
      </w:r>
      <w:r>
        <w:rPr>
          <w:rFonts w:hint="eastAsia" w:ascii="仿宋_GB2312" w:hAnsi="仿宋" w:eastAsia="仿宋_GB2312" w:cs="KFWCQV+ËÎÌå"/>
          <w:sz w:val="30"/>
          <w:szCs w:val="30"/>
          <w:highlight w:val="none"/>
        </w:rPr>
        <w:t>万元</w:t>
      </w:r>
      <w:r>
        <w:rPr>
          <w:rFonts w:hint="eastAsia" w:ascii="仿宋_GB2312" w:hAnsi="仿宋" w:eastAsia="仿宋_GB2312" w:cs="KFWCQV+ËÎÌå"/>
          <w:sz w:val="30"/>
          <w:szCs w:val="30"/>
          <w:highlight w:val="none"/>
          <w:lang w:eastAsia="zh-CN"/>
        </w:rPr>
        <w:t>。</w:t>
      </w:r>
    </w:p>
    <w:p>
      <w:pPr>
        <w:numPr>
          <w:ilvl w:val="-1"/>
          <w:numId w:val="0"/>
        </w:numPr>
        <w:ind w:firstLine="562" w:firstLineChars="200"/>
        <w:rPr>
          <w:rFonts w:hint="eastAsia" w:ascii="仿宋" w:hAnsi="仿宋" w:eastAsia="仿宋" w:cs="KFWCQV+ËÎÌå"/>
          <w:b/>
          <w:bCs/>
          <w:sz w:val="28"/>
          <w:szCs w:val="28"/>
          <w:highlight w:val="none"/>
        </w:rPr>
      </w:pPr>
      <w:r>
        <w:rPr>
          <w:rFonts w:hint="eastAsia" w:ascii="仿宋" w:hAnsi="仿宋" w:eastAsia="仿宋" w:cs="KFWCQV+ËÎÌå"/>
          <w:b/>
          <w:bCs/>
          <w:sz w:val="28"/>
          <w:szCs w:val="28"/>
          <w:highlight w:val="none"/>
          <w:lang w:val="en-US" w:eastAsia="zh-CN"/>
        </w:rPr>
        <w:t>5.</w:t>
      </w:r>
      <w:r>
        <w:rPr>
          <w:rFonts w:hint="eastAsia" w:ascii="仿宋" w:hAnsi="仿宋" w:eastAsia="仿宋" w:cs="KFWCQV+ËÎÌå"/>
          <w:b/>
          <w:bCs/>
          <w:sz w:val="28"/>
          <w:szCs w:val="28"/>
          <w:highlight w:val="none"/>
        </w:rPr>
        <w:t>其他类关联交易</w:t>
      </w:r>
    </w:p>
    <w:p>
      <w:pPr>
        <w:numPr>
          <w:ilvl w:val="-1"/>
          <w:numId w:val="0"/>
        </w:numPr>
        <w:ind w:firstLine="560" w:firstLineChars="200"/>
        <w:rPr>
          <w:rFonts w:hint="default" w:ascii="仿宋_GB2312" w:hAnsi="仿宋" w:eastAsia="仿宋_GB2312" w:cs="JNNOKE+ËÎÌå"/>
          <w:sz w:val="30"/>
          <w:szCs w:val="30"/>
          <w:highlight w:val="none"/>
          <w:lang w:val="en-US" w:eastAsia="zh-CN"/>
        </w:rPr>
      </w:pPr>
      <w:r>
        <w:rPr>
          <w:rFonts w:hint="eastAsia" w:ascii="仿宋" w:hAnsi="仿宋" w:eastAsia="仿宋" w:cs="KFWCQV+ËÎÌå"/>
          <w:b w:val="0"/>
          <w:bCs w:val="0"/>
          <w:sz w:val="28"/>
          <w:szCs w:val="28"/>
          <w:highlight w:val="none"/>
          <w:lang w:val="en-US" w:eastAsia="zh-CN"/>
        </w:rPr>
        <w:t>无。</w:t>
      </w:r>
      <w:bookmarkStart w:id="0" w:name="_GoBack"/>
      <w:bookmarkEnd w:id="0"/>
    </w:p>
    <w:sectPr>
      <w:footerReference r:id="rId4" w:type="default"/>
      <w:pgSz w:w="11906" w:h="16838"/>
      <w:pgMar w:top="1440" w:right="1800" w:bottom="1440" w:left="1800"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ËÎÌå">
    <w:altName w:val="Arial"/>
    <w:panose1 w:val="00000000000000000000"/>
    <w:charset w:val="00"/>
    <w:family w:val="swiss"/>
    <w:pitch w:val="default"/>
    <w:sig w:usb0="00000000" w:usb1="00000000" w:usb2="00000000" w:usb3="00000000" w:csb0="00000001" w:csb1="00000000"/>
  </w:font>
  <w:font w:name="KFWCQV+ËÎÌå">
    <w:altName w:val="微软雅黑"/>
    <w:panose1 w:val="00000000000000000000"/>
    <w:charset w:val="01"/>
    <w:family w:val="auto"/>
    <w:pitch w:val="default"/>
    <w:sig w:usb0="00000000" w:usb1="00000000" w:usb2="00000000"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JNNOKE+ËÎÌå">
    <w:altName w:val="微软雅黑"/>
    <w:panose1 w:val="00000000000000000000"/>
    <w:charset w:val="01"/>
    <w:family w:val="auto"/>
    <w:pitch w:val="default"/>
    <w:sig w:usb0="00000000" w:usb1="00000000" w:usb2="00000000" w:usb3="00000000" w:csb0="00040001" w:csb1="00000000"/>
  </w:font>
  <w:font w:name="CVGVTE+ËÎÌå">
    <w:altName w:val="微软雅黑"/>
    <w:panose1 w:val="00000000000000000000"/>
    <w:charset w:val="01"/>
    <w:family w:val="auto"/>
    <w:pitch w:val="default"/>
    <w:sig w:usb0="00000000" w:usb1="00000000" w:usb2="00000000"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8297403"/>
    </w:sdtPr>
    <w:sdtContent>
      <w:p>
        <w:pPr>
          <w:pStyle w:val="4"/>
          <w:jc w:val="center"/>
        </w:pPr>
        <w:r>
          <w:fldChar w:fldCharType="begin"/>
        </w:r>
        <w:r>
          <w:instrText xml:space="preserve">PAGE   \* MERGEFORMAT</w:instrText>
        </w:r>
        <w:r>
          <w:fldChar w:fldCharType="separate"/>
        </w:r>
        <w:r>
          <w:rPr>
            <w:lang w:val="zh-CN"/>
          </w:rPr>
          <w:t>1</w:t>
        </w:r>
        <w:r>
          <w:fldChar w:fldCharType="end"/>
        </w:r>
      </w:p>
    </w:sdtContent>
  </w:sdt>
  <w:p>
    <w:pPr>
      <w:pStyle w:val="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id="0">
    <w:p>
      <w:pPr>
        <w:pStyle w:val="6"/>
      </w:pPr>
      <w:r>
        <w:rPr>
          <w:rStyle w:val="13"/>
        </w:rPr>
        <w:footnoteRef/>
      </w:r>
      <w:r>
        <w:t xml:space="preserve"> </w:t>
      </w:r>
      <w:r>
        <w:rPr>
          <w:rFonts w:hint="eastAsia"/>
        </w:rPr>
        <w:t>本文除债券用信余额使用投资本金统计</w:t>
      </w:r>
      <w:r>
        <w:rPr>
          <w:rFonts w:hint="eastAsia"/>
          <w:lang w:eastAsia="zh-CN"/>
        </w:rPr>
        <w:t>，</w:t>
      </w:r>
      <w:r>
        <w:rPr>
          <w:rFonts w:hint="eastAsia"/>
        </w:rPr>
        <w:t>其余均采用1104口径</w:t>
      </w:r>
      <w:r>
        <w:rPr>
          <w:rFonts w:hint="eastAsia"/>
          <w:lang w:eastAsia="zh-CN"/>
        </w:rPr>
        <w:t>，</w:t>
      </w:r>
      <w:r>
        <w:rPr>
          <w:rFonts w:hint="eastAsia"/>
          <w:lang w:val="en-US" w:eastAsia="zh-CN"/>
        </w:rPr>
        <w:t>其中</w:t>
      </w:r>
      <w:r>
        <w:rPr>
          <w:rFonts w:hint="eastAsia"/>
        </w:rPr>
        <w:t>资本净额使用上季度末数据，。</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95E32B7"/>
    <w:multiLevelType w:val="singleLevel"/>
    <w:tmpl w:val="E95E32B7"/>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MzZDY3YjE0ZDg5NzUxYWVkY2ZmNzkxMzQwZmFjMDUifQ=="/>
  </w:docVars>
  <w:rsids>
    <w:rsidRoot w:val="008A20A3"/>
    <w:rsid w:val="000351C3"/>
    <w:rsid w:val="00040B09"/>
    <w:rsid w:val="000471D5"/>
    <w:rsid w:val="00053DEC"/>
    <w:rsid w:val="00077B33"/>
    <w:rsid w:val="000A0ED3"/>
    <w:rsid w:val="000A1DDA"/>
    <w:rsid w:val="00122DB2"/>
    <w:rsid w:val="0012521A"/>
    <w:rsid w:val="001355FB"/>
    <w:rsid w:val="00140B56"/>
    <w:rsid w:val="00173F67"/>
    <w:rsid w:val="00177397"/>
    <w:rsid w:val="00181D2C"/>
    <w:rsid w:val="001A4800"/>
    <w:rsid w:val="001C2115"/>
    <w:rsid w:val="001E4AC1"/>
    <w:rsid w:val="001F1A43"/>
    <w:rsid w:val="002001FC"/>
    <w:rsid w:val="00206F93"/>
    <w:rsid w:val="002075EF"/>
    <w:rsid w:val="00220ECA"/>
    <w:rsid w:val="00230A9C"/>
    <w:rsid w:val="002452B5"/>
    <w:rsid w:val="002C49BD"/>
    <w:rsid w:val="002E3A72"/>
    <w:rsid w:val="002F3FD1"/>
    <w:rsid w:val="002F5FA9"/>
    <w:rsid w:val="003113B3"/>
    <w:rsid w:val="00313783"/>
    <w:rsid w:val="00315A6B"/>
    <w:rsid w:val="00315CE0"/>
    <w:rsid w:val="003340E2"/>
    <w:rsid w:val="0034289B"/>
    <w:rsid w:val="00345642"/>
    <w:rsid w:val="00370F06"/>
    <w:rsid w:val="00375BAD"/>
    <w:rsid w:val="003875D3"/>
    <w:rsid w:val="003919F1"/>
    <w:rsid w:val="00394378"/>
    <w:rsid w:val="003954A3"/>
    <w:rsid w:val="003A36E0"/>
    <w:rsid w:val="003A705D"/>
    <w:rsid w:val="003B608F"/>
    <w:rsid w:val="003C4186"/>
    <w:rsid w:val="003D6DD8"/>
    <w:rsid w:val="003E39A5"/>
    <w:rsid w:val="003F13A9"/>
    <w:rsid w:val="00425100"/>
    <w:rsid w:val="00453193"/>
    <w:rsid w:val="004653E9"/>
    <w:rsid w:val="004C4E98"/>
    <w:rsid w:val="004D3376"/>
    <w:rsid w:val="004E3772"/>
    <w:rsid w:val="004E4A6E"/>
    <w:rsid w:val="004F41E0"/>
    <w:rsid w:val="005017D9"/>
    <w:rsid w:val="005428F3"/>
    <w:rsid w:val="00553BA2"/>
    <w:rsid w:val="00554B9E"/>
    <w:rsid w:val="005923CD"/>
    <w:rsid w:val="005A0A34"/>
    <w:rsid w:val="005A398E"/>
    <w:rsid w:val="005C3D1E"/>
    <w:rsid w:val="005F3CFF"/>
    <w:rsid w:val="006036FC"/>
    <w:rsid w:val="00613D3F"/>
    <w:rsid w:val="006415E0"/>
    <w:rsid w:val="00641C77"/>
    <w:rsid w:val="00661F66"/>
    <w:rsid w:val="00687B58"/>
    <w:rsid w:val="006C78B5"/>
    <w:rsid w:val="006E5BB5"/>
    <w:rsid w:val="00753A33"/>
    <w:rsid w:val="007552F7"/>
    <w:rsid w:val="00761EF9"/>
    <w:rsid w:val="007B2616"/>
    <w:rsid w:val="007C7FBA"/>
    <w:rsid w:val="007F365C"/>
    <w:rsid w:val="0080545E"/>
    <w:rsid w:val="00806E6A"/>
    <w:rsid w:val="008143C1"/>
    <w:rsid w:val="0083287D"/>
    <w:rsid w:val="008477DA"/>
    <w:rsid w:val="00861D4D"/>
    <w:rsid w:val="00871650"/>
    <w:rsid w:val="0087547A"/>
    <w:rsid w:val="008815E5"/>
    <w:rsid w:val="008A20A3"/>
    <w:rsid w:val="008C0249"/>
    <w:rsid w:val="008E4051"/>
    <w:rsid w:val="008E68DA"/>
    <w:rsid w:val="0090619D"/>
    <w:rsid w:val="00913718"/>
    <w:rsid w:val="00915A94"/>
    <w:rsid w:val="009265C2"/>
    <w:rsid w:val="00940BF3"/>
    <w:rsid w:val="00946749"/>
    <w:rsid w:val="00952B97"/>
    <w:rsid w:val="009645D6"/>
    <w:rsid w:val="00967572"/>
    <w:rsid w:val="009759CA"/>
    <w:rsid w:val="00992FBD"/>
    <w:rsid w:val="0099388E"/>
    <w:rsid w:val="009958DB"/>
    <w:rsid w:val="009E0464"/>
    <w:rsid w:val="009E640A"/>
    <w:rsid w:val="009E65D5"/>
    <w:rsid w:val="009F63BE"/>
    <w:rsid w:val="00A15F95"/>
    <w:rsid w:val="00A30DCD"/>
    <w:rsid w:val="00A31743"/>
    <w:rsid w:val="00A439E8"/>
    <w:rsid w:val="00A9213C"/>
    <w:rsid w:val="00A96878"/>
    <w:rsid w:val="00A96E8D"/>
    <w:rsid w:val="00AA0B2A"/>
    <w:rsid w:val="00AA28C0"/>
    <w:rsid w:val="00AD1C6B"/>
    <w:rsid w:val="00AD6E64"/>
    <w:rsid w:val="00AE1D7A"/>
    <w:rsid w:val="00AE4AA2"/>
    <w:rsid w:val="00B01158"/>
    <w:rsid w:val="00B41AB9"/>
    <w:rsid w:val="00B45D3E"/>
    <w:rsid w:val="00B51DCE"/>
    <w:rsid w:val="00B73AD1"/>
    <w:rsid w:val="00B90006"/>
    <w:rsid w:val="00BA503D"/>
    <w:rsid w:val="00BB46E8"/>
    <w:rsid w:val="00BC3D97"/>
    <w:rsid w:val="00BE1075"/>
    <w:rsid w:val="00BF76F6"/>
    <w:rsid w:val="00C245E3"/>
    <w:rsid w:val="00C51136"/>
    <w:rsid w:val="00C656FD"/>
    <w:rsid w:val="00C66761"/>
    <w:rsid w:val="00C7602B"/>
    <w:rsid w:val="00C955C1"/>
    <w:rsid w:val="00CA15FA"/>
    <w:rsid w:val="00CC77FE"/>
    <w:rsid w:val="00D41A67"/>
    <w:rsid w:val="00D41D9D"/>
    <w:rsid w:val="00D5524D"/>
    <w:rsid w:val="00D80BB5"/>
    <w:rsid w:val="00D815FF"/>
    <w:rsid w:val="00DA0B85"/>
    <w:rsid w:val="00DA1624"/>
    <w:rsid w:val="00DA1A50"/>
    <w:rsid w:val="00DA2E7A"/>
    <w:rsid w:val="00DA49B9"/>
    <w:rsid w:val="00DA5FF7"/>
    <w:rsid w:val="00DA73AC"/>
    <w:rsid w:val="00DC1103"/>
    <w:rsid w:val="00DC2161"/>
    <w:rsid w:val="00DC2680"/>
    <w:rsid w:val="00DC61E6"/>
    <w:rsid w:val="00DE28EB"/>
    <w:rsid w:val="00DE62A9"/>
    <w:rsid w:val="00DE6D0D"/>
    <w:rsid w:val="00E27F3B"/>
    <w:rsid w:val="00E55A94"/>
    <w:rsid w:val="00E76264"/>
    <w:rsid w:val="00EC46B4"/>
    <w:rsid w:val="00EE4A0A"/>
    <w:rsid w:val="00EE65C8"/>
    <w:rsid w:val="00EF482C"/>
    <w:rsid w:val="00EF7A9B"/>
    <w:rsid w:val="00EF7C64"/>
    <w:rsid w:val="00F062A6"/>
    <w:rsid w:val="00F1380D"/>
    <w:rsid w:val="00F2305A"/>
    <w:rsid w:val="00F438C5"/>
    <w:rsid w:val="00F44EB0"/>
    <w:rsid w:val="00FC6636"/>
    <w:rsid w:val="01FE66A8"/>
    <w:rsid w:val="03D273AB"/>
    <w:rsid w:val="04003D1C"/>
    <w:rsid w:val="044C3AD5"/>
    <w:rsid w:val="04DF6D03"/>
    <w:rsid w:val="04E974F4"/>
    <w:rsid w:val="050A7FA8"/>
    <w:rsid w:val="05AC1D34"/>
    <w:rsid w:val="06155C60"/>
    <w:rsid w:val="06DE33EA"/>
    <w:rsid w:val="0732538C"/>
    <w:rsid w:val="0AEA562C"/>
    <w:rsid w:val="0BB26BE8"/>
    <w:rsid w:val="0C8A39D7"/>
    <w:rsid w:val="0CCC6715"/>
    <w:rsid w:val="0E752D74"/>
    <w:rsid w:val="0ED778FB"/>
    <w:rsid w:val="0EEC4E6E"/>
    <w:rsid w:val="0F0E0932"/>
    <w:rsid w:val="10AF53DB"/>
    <w:rsid w:val="10CF2A1C"/>
    <w:rsid w:val="111352B9"/>
    <w:rsid w:val="113F29E0"/>
    <w:rsid w:val="12D12783"/>
    <w:rsid w:val="12E50DD2"/>
    <w:rsid w:val="12F24D34"/>
    <w:rsid w:val="148721E7"/>
    <w:rsid w:val="158052E6"/>
    <w:rsid w:val="168E6AAB"/>
    <w:rsid w:val="16C0447B"/>
    <w:rsid w:val="16C94868"/>
    <w:rsid w:val="17456ADE"/>
    <w:rsid w:val="17C028CE"/>
    <w:rsid w:val="17F01BE4"/>
    <w:rsid w:val="1A4E036B"/>
    <w:rsid w:val="1A9D36C4"/>
    <w:rsid w:val="1CA656F5"/>
    <w:rsid w:val="1EC353A6"/>
    <w:rsid w:val="1FC00B04"/>
    <w:rsid w:val="21A90A7B"/>
    <w:rsid w:val="226B194C"/>
    <w:rsid w:val="2296607A"/>
    <w:rsid w:val="24CF26B3"/>
    <w:rsid w:val="250D298C"/>
    <w:rsid w:val="258465D6"/>
    <w:rsid w:val="264649E9"/>
    <w:rsid w:val="27886FCA"/>
    <w:rsid w:val="27BF070B"/>
    <w:rsid w:val="29E86BBF"/>
    <w:rsid w:val="2A365342"/>
    <w:rsid w:val="2B9565EF"/>
    <w:rsid w:val="2B9F152F"/>
    <w:rsid w:val="2BCB4103"/>
    <w:rsid w:val="2BDA6164"/>
    <w:rsid w:val="2CEF2E25"/>
    <w:rsid w:val="2CFE0C85"/>
    <w:rsid w:val="2E3C51C6"/>
    <w:rsid w:val="2F804FB0"/>
    <w:rsid w:val="2FEF6DC9"/>
    <w:rsid w:val="310130E2"/>
    <w:rsid w:val="315B028F"/>
    <w:rsid w:val="316E034A"/>
    <w:rsid w:val="317C7E79"/>
    <w:rsid w:val="31A32E4B"/>
    <w:rsid w:val="32BB3A32"/>
    <w:rsid w:val="351E7C2D"/>
    <w:rsid w:val="35305E63"/>
    <w:rsid w:val="354C0CEB"/>
    <w:rsid w:val="36E151A4"/>
    <w:rsid w:val="3755232E"/>
    <w:rsid w:val="37A67986"/>
    <w:rsid w:val="38841439"/>
    <w:rsid w:val="38F5735F"/>
    <w:rsid w:val="3B554CDA"/>
    <w:rsid w:val="3CB110E4"/>
    <w:rsid w:val="3CC56FBE"/>
    <w:rsid w:val="3E4F44A2"/>
    <w:rsid w:val="3EE86586"/>
    <w:rsid w:val="3EF87F6D"/>
    <w:rsid w:val="3EFF3B53"/>
    <w:rsid w:val="40F55AFB"/>
    <w:rsid w:val="414611C9"/>
    <w:rsid w:val="41EF4B9D"/>
    <w:rsid w:val="428568C3"/>
    <w:rsid w:val="42F6602F"/>
    <w:rsid w:val="439355A8"/>
    <w:rsid w:val="46467DCB"/>
    <w:rsid w:val="4651303A"/>
    <w:rsid w:val="47B32C39"/>
    <w:rsid w:val="483E1421"/>
    <w:rsid w:val="48503FB5"/>
    <w:rsid w:val="492636F2"/>
    <w:rsid w:val="497E333F"/>
    <w:rsid w:val="49941726"/>
    <w:rsid w:val="4A28463E"/>
    <w:rsid w:val="4BD45341"/>
    <w:rsid w:val="4BF25F94"/>
    <w:rsid w:val="4D9D0713"/>
    <w:rsid w:val="4E126300"/>
    <w:rsid w:val="4E8950BB"/>
    <w:rsid w:val="4FA57E33"/>
    <w:rsid w:val="4FF41058"/>
    <w:rsid w:val="50714245"/>
    <w:rsid w:val="507C7FCA"/>
    <w:rsid w:val="507D72E7"/>
    <w:rsid w:val="50D619AA"/>
    <w:rsid w:val="50DA33D2"/>
    <w:rsid w:val="519579C9"/>
    <w:rsid w:val="521071C6"/>
    <w:rsid w:val="53B43100"/>
    <w:rsid w:val="540B1129"/>
    <w:rsid w:val="556A2BA1"/>
    <w:rsid w:val="556F599F"/>
    <w:rsid w:val="557C55B0"/>
    <w:rsid w:val="5654706B"/>
    <w:rsid w:val="56A23756"/>
    <w:rsid w:val="58355FDA"/>
    <w:rsid w:val="59B102BC"/>
    <w:rsid w:val="59D86D8F"/>
    <w:rsid w:val="5A543481"/>
    <w:rsid w:val="5BA7081D"/>
    <w:rsid w:val="5BE5173B"/>
    <w:rsid w:val="5BFD51EC"/>
    <w:rsid w:val="5C4D0B95"/>
    <w:rsid w:val="5C576F00"/>
    <w:rsid w:val="5D2928E7"/>
    <w:rsid w:val="5D66554E"/>
    <w:rsid w:val="5DCE7916"/>
    <w:rsid w:val="5E3D1B2F"/>
    <w:rsid w:val="5E502E67"/>
    <w:rsid w:val="5ED70DED"/>
    <w:rsid w:val="5F4069B0"/>
    <w:rsid w:val="5F9273B0"/>
    <w:rsid w:val="60117157"/>
    <w:rsid w:val="60D54DB2"/>
    <w:rsid w:val="61174AB5"/>
    <w:rsid w:val="633572A2"/>
    <w:rsid w:val="63695490"/>
    <w:rsid w:val="63BE794F"/>
    <w:rsid w:val="64652723"/>
    <w:rsid w:val="65B409ED"/>
    <w:rsid w:val="66593EEE"/>
    <w:rsid w:val="67427449"/>
    <w:rsid w:val="69025617"/>
    <w:rsid w:val="693160C0"/>
    <w:rsid w:val="69ED6695"/>
    <w:rsid w:val="6A0069F8"/>
    <w:rsid w:val="6A4237E6"/>
    <w:rsid w:val="6A68501D"/>
    <w:rsid w:val="6B1E543D"/>
    <w:rsid w:val="6BA62514"/>
    <w:rsid w:val="6DA46F0C"/>
    <w:rsid w:val="6E2D70D9"/>
    <w:rsid w:val="6EE80E11"/>
    <w:rsid w:val="6F65711C"/>
    <w:rsid w:val="6FA045DD"/>
    <w:rsid w:val="6FCE5B9A"/>
    <w:rsid w:val="70A8134E"/>
    <w:rsid w:val="727D27A3"/>
    <w:rsid w:val="72A33F36"/>
    <w:rsid w:val="72CE15CD"/>
    <w:rsid w:val="7464553D"/>
    <w:rsid w:val="753C646F"/>
    <w:rsid w:val="762D2C27"/>
    <w:rsid w:val="7771174D"/>
    <w:rsid w:val="792F5705"/>
    <w:rsid w:val="79C82630"/>
    <w:rsid w:val="7A9805BE"/>
    <w:rsid w:val="7B447E06"/>
    <w:rsid w:val="7BD503F6"/>
    <w:rsid w:val="7C147A9E"/>
    <w:rsid w:val="7C3B4B84"/>
    <w:rsid w:val="7D0A20D6"/>
    <w:rsid w:val="7D136032"/>
    <w:rsid w:val="7D8C5BA2"/>
    <w:rsid w:val="7EC26004"/>
    <w:rsid w:val="7FC12B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Layout w:type="fixed"/>
      <w:tblCellMar>
        <w:top w:w="0" w:type="dxa"/>
        <w:left w:w="108" w:type="dxa"/>
        <w:bottom w:w="0" w:type="dxa"/>
        <w:right w:w="108" w:type="dxa"/>
      </w:tblCellMar>
    </w:tblPr>
  </w:style>
  <w:style w:type="paragraph" w:styleId="2">
    <w:name w:val="annotation text"/>
    <w:basedOn w:val="1"/>
    <w:link w:val="19"/>
    <w:semiHidden/>
    <w:unhideWhenUsed/>
    <w:qFormat/>
    <w:uiPriority w:val="99"/>
    <w:pPr>
      <w:jc w:val="left"/>
    </w:pPr>
  </w:style>
  <w:style w:type="paragraph" w:styleId="3">
    <w:name w:val="Balloon Text"/>
    <w:basedOn w:val="1"/>
    <w:link w:val="17"/>
    <w:semiHidden/>
    <w:unhideWhenUsed/>
    <w:qFormat/>
    <w:uiPriority w:val="99"/>
    <w:rPr>
      <w:sz w:val="18"/>
      <w:szCs w:val="18"/>
    </w:rPr>
  </w:style>
  <w:style w:type="paragraph" w:styleId="4">
    <w:name w:val="footer"/>
    <w:basedOn w:val="1"/>
    <w:link w:val="15"/>
    <w:unhideWhenUsed/>
    <w:qFormat/>
    <w:uiPriority w:val="99"/>
    <w:pPr>
      <w:tabs>
        <w:tab w:val="center" w:pos="4153"/>
        <w:tab w:val="right" w:pos="8306"/>
      </w:tabs>
      <w:snapToGrid w:val="0"/>
      <w:jc w:val="left"/>
    </w:pPr>
    <w:rPr>
      <w:sz w:val="18"/>
      <w:szCs w:val="18"/>
    </w:rPr>
  </w:style>
  <w:style w:type="paragraph" w:styleId="5">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footnote text"/>
    <w:basedOn w:val="1"/>
    <w:semiHidden/>
    <w:unhideWhenUsed/>
    <w:qFormat/>
    <w:uiPriority w:val="99"/>
    <w:pPr>
      <w:snapToGrid w:val="0"/>
      <w:jc w:val="left"/>
    </w:pPr>
    <w:rPr>
      <w:sz w:val="18"/>
    </w:rPr>
  </w:style>
  <w:style w:type="paragraph" w:styleId="7">
    <w:name w:val="annotation subject"/>
    <w:basedOn w:val="2"/>
    <w:next w:val="2"/>
    <w:link w:val="20"/>
    <w:semiHidden/>
    <w:unhideWhenUsed/>
    <w:qFormat/>
    <w:uiPriority w:val="99"/>
    <w:rPr>
      <w:b/>
      <w:bCs/>
    </w:rPr>
  </w:style>
  <w:style w:type="table" w:styleId="9">
    <w:name w:val="Table Grid"/>
    <w:basedOn w:val="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1">
    <w:name w:val="Emphasis"/>
    <w:basedOn w:val="10"/>
    <w:qFormat/>
    <w:uiPriority w:val="20"/>
    <w:rPr>
      <w:i/>
    </w:rPr>
  </w:style>
  <w:style w:type="character" w:styleId="12">
    <w:name w:val="annotation reference"/>
    <w:basedOn w:val="10"/>
    <w:semiHidden/>
    <w:unhideWhenUsed/>
    <w:qFormat/>
    <w:uiPriority w:val="99"/>
    <w:rPr>
      <w:sz w:val="21"/>
      <w:szCs w:val="21"/>
    </w:rPr>
  </w:style>
  <w:style w:type="character" w:styleId="13">
    <w:name w:val="footnote reference"/>
    <w:basedOn w:val="10"/>
    <w:semiHidden/>
    <w:unhideWhenUsed/>
    <w:qFormat/>
    <w:uiPriority w:val="99"/>
    <w:rPr>
      <w:vertAlign w:val="superscript"/>
    </w:rPr>
  </w:style>
  <w:style w:type="character" w:customStyle="1" w:styleId="14">
    <w:name w:val="页眉 Char"/>
    <w:basedOn w:val="10"/>
    <w:link w:val="5"/>
    <w:qFormat/>
    <w:uiPriority w:val="99"/>
    <w:rPr>
      <w:rFonts w:ascii="Calibri" w:hAnsi="Calibri" w:eastAsia="宋体" w:cs="Times New Roman"/>
      <w:sz w:val="18"/>
      <w:szCs w:val="18"/>
    </w:rPr>
  </w:style>
  <w:style w:type="character" w:customStyle="1" w:styleId="15">
    <w:name w:val="页脚 Char"/>
    <w:basedOn w:val="10"/>
    <w:link w:val="4"/>
    <w:qFormat/>
    <w:uiPriority w:val="99"/>
    <w:rPr>
      <w:rFonts w:ascii="Calibri" w:hAnsi="Calibri" w:eastAsia="宋体" w:cs="Times New Roman"/>
      <w:sz w:val="18"/>
      <w:szCs w:val="18"/>
    </w:rPr>
  </w:style>
  <w:style w:type="paragraph" w:styleId="16">
    <w:name w:val="List Paragraph"/>
    <w:basedOn w:val="1"/>
    <w:qFormat/>
    <w:uiPriority w:val="34"/>
    <w:pPr>
      <w:ind w:firstLine="420" w:firstLineChars="200"/>
    </w:pPr>
  </w:style>
  <w:style w:type="character" w:customStyle="1" w:styleId="17">
    <w:name w:val="批注框文本 Char"/>
    <w:basedOn w:val="10"/>
    <w:link w:val="3"/>
    <w:semiHidden/>
    <w:qFormat/>
    <w:uiPriority w:val="99"/>
    <w:rPr>
      <w:rFonts w:ascii="Calibri" w:hAnsi="Calibri" w:eastAsia="宋体" w:cs="Times New Roman"/>
      <w:sz w:val="18"/>
      <w:szCs w:val="18"/>
    </w:rPr>
  </w:style>
  <w:style w:type="paragraph" w:customStyle="1" w:styleId="18">
    <w:name w:val="Default"/>
    <w:qFormat/>
    <w:uiPriority w:val="0"/>
    <w:pPr>
      <w:widowControl w:val="0"/>
      <w:autoSpaceDE w:val="0"/>
      <w:autoSpaceDN w:val="0"/>
      <w:adjustRightInd w:val="0"/>
    </w:pPr>
    <w:rPr>
      <w:rFonts w:ascii="ËÎÌå" w:hAnsi="ËÎÌå" w:eastAsia="宋体" w:cs="ËÎÌå"/>
      <w:lang w:val="en-US" w:eastAsia="zh-CN" w:bidi="ar-SA"/>
    </w:rPr>
  </w:style>
  <w:style w:type="character" w:customStyle="1" w:styleId="19">
    <w:name w:val="批注文字 Char"/>
    <w:basedOn w:val="10"/>
    <w:link w:val="2"/>
    <w:semiHidden/>
    <w:qFormat/>
    <w:uiPriority w:val="99"/>
    <w:rPr>
      <w:rFonts w:ascii="Calibri" w:hAnsi="Calibri"/>
      <w:kern w:val="2"/>
      <w:sz w:val="21"/>
      <w:szCs w:val="22"/>
    </w:rPr>
  </w:style>
  <w:style w:type="character" w:customStyle="1" w:styleId="20">
    <w:name w:val="批注主题 Char"/>
    <w:basedOn w:val="19"/>
    <w:link w:val="7"/>
    <w:semiHidden/>
    <w:qFormat/>
    <w:uiPriority w:val="99"/>
    <w:rPr>
      <w:rFonts w:ascii="Calibri" w:hAnsi="Calibri"/>
      <w:b/>
      <w:bCs/>
      <w:kern w:val="2"/>
      <w:sz w:val="21"/>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605</Words>
  <Characters>3454</Characters>
  <Lines>28</Lines>
  <Paragraphs>8</Paragraphs>
  <TotalTime>67</TotalTime>
  <ScaleCrop>false</ScaleCrop>
  <LinksUpToDate>false</LinksUpToDate>
  <CharactersWithSpaces>4051</CharactersWithSpaces>
  <Application>WPS Office_11.8.2.8696_F1E327BC-269C-435d-A152-05C5408002CA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2020-07-03T08:21:00Z</dcterms:created>
  <dc:creator>user</dc:creator>
  <cp:lastModifiedBy>任翀</cp:lastModifiedBy>
  <cp:lastPrinted>2020-01-07T06:38:00Z</cp:lastPrinted>
  <dcterms:modified xsi:type="dcterms:W3CDTF">2024-10-29T08:32:20Z</dcterms:modified>
  <cp:revision>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2052-11.8.2.8696</vt:lpwstr>
  </property>
  <property fmtid="{D5CDD505-2E9C-101B-9397-08002B2CF9AE}" pid="3" name="ICV">
    <vt:lpwstr>999056A7048342358453C6206AB3C942_13</vt:lpwstr>
  </property>
</Properties>
</file>